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458" w:rsidRDefault="00510CD3">
      <w:pPr>
        <w:rPr>
          <w:b/>
        </w:rPr>
      </w:pPr>
      <w:r>
        <w:rPr>
          <w:b/>
        </w:rPr>
        <w:t>EVERYTHING YOU NEED TO KNOW ABOUT BRACES</w:t>
      </w:r>
    </w:p>
    <w:p w:rsidR="00510CD3" w:rsidRDefault="00510CD3" w:rsidP="00510CD3">
      <w:pPr>
        <w:pStyle w:val="ListParagraph"/>
        <w:numPr>
          <w:ilvl w:val="0"/>
          <w:numId w:val="1"/>
        </w:numPr>
      </w:pPr>
      <w:r>
        <w:t xml:space="preserve">Braces are a traditional means of treating </w:t>
      </w:r>
      <w:proofErr w:type="spellStart"/>
      <w:r>
        <w:t>malaligned</w:t>
      </w:r>
      <w:proofErr w:type="spellEnd"/>
      <w:r>
        <w:t xml:space="preserve"> teeth and have been used over centuries. Once every decade technology takes a leap and unlike olden times, the newer braces are much more comfortable, faster and less visible.</w:t>
      </w:r>
    </w:p>
    <w:p w:rsidR="00510CD3" w:rsidRPr="00510CD3" w:rsidRDefault="00510CD3" w:rsidP="00510CD3">
      <w:pPr>
        <w:pStyle w:val="ListParagraph"/>
        <w:numPr>
          <w:ilvl w:val="0"/>
          <w:numId w:val="1"/>
        </w:numPr>
      </w:pPr>
      <w:r>
        <w:rPr>
          <w:color w:val="FF0000"/>
        </w:rPr>
        <w:t>TYPES OF BRACES</w:t>
      </w:r>
    </w:p>
    <w:p w:rsidR="00510CD3" w:rsidRDefault="00510CD3" w:rsidP="00510CD3">
      <w:pPr>
        <w:pStyle w:val="ListParagraph"/>
        <w:ind w:left="1080"/>
      </w:pPr>
      <w:r>
        <w:rPr>
          <w:noProof/>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10CD3" w:rsidRPr="00510CD3" w:rsidRDefault="00510CD3" w:rsidP="00510CD3">
      <w:pPr>
        <w:pStyle w:val="ListParagraph"/>
        <w:numPr>
          <w:ilvl w:val="0"/>
          <w:numId w:val="2"/>
        </w:numPr>
      </w:pPr>
      <w:r>
        <w:rPr>
          <w:color w:val="FF0000"/>
        </w:rPr>
        <w:t>DIFFERENCE BETWEEN TYPES OF BRACES</w:t>
      </w:r>
    </w:p>
    <w:p w:rsidR="00510CD3" w:rsidRPr="00510CD3" w:rsidRDefault="00510CD3" w:rsidP="00510CD3">
      <w:pPr>
        <w:pStyle w:val="ListParagraph"/>
        <w:numPr>
          <w:ilvl w:val="1"/>
          <w:numId w:val="2"/>
        </w:numPr>
      </w:pPr>
      <w:r w:rsidRPr="00250184">
        <w:rPr>
          <w:color w:val="FF0000"/>
        </w:rPr>
        <w:t>Traditional braces</w:t>
      </w:r>
      <w:r w:rsidR="00937C9A">
        <w:rPr>
          <w:color w:val="FF0000"/>
        </w:rPr>
        <w:t xml:space="preserve"> (Image 1)</w:t>
      </w:r>
      <w:r>
        <w:rPr>
          <w:color w:val="000000" w:themeColor="text1"/>
        </w:rPr>
        <w:t xml:space="preserve"> are the oldest form of braces and the most widely used </w:t>
      </w:r>
      <w:r w:rsidR="00937C9A">
        <w:rPr>
          <w:color w:val="000000" w:themeColor="text1"/>
        </w:rPr>
        <w:t>variety</w:t>
      </w:r>
      <w:r>
        <w:rPr>
          <w:color w:val="000000" w:themeColor="text1"/>
        </w:rPr>
        <w:t>.</w:t>
      </w:r>
    </w:p>
    <w:p w:rsidR="00510CD3" w:rsidRPr="00510CD3" w:rsidRDefault="00510CD3" w:rsidP="00510CD3">
      <w:pPr>
        <w:pStyle w:val="ListParagraph"/>
        <w:numPr>
          <w:ilvl w:val="1"/>
          <w:numId w:val="2"/>
        </w:numPr>
      </w:pPr>
      <w:r>
        <w:rPr>
          <w:color w:val="000000" w:themeColor="text1"/>
        </w:rPr>
        <w:t>They are of 2 types: Metal braces (slightly more visible, more sturdy), Ceramic braces (Slightly less visible, preferred by girls and older teens).</w:t>
      </w:r>
    </w:p>
    <w:p w:rsidR="00510CD3" w:rsidRPr="00510CD3" w:rsidRDefault="00510CD3" w:rsidP="00510CD3">
      <w:pPr>
        <w:pStyle w:val="ListParagraph"/>
        <w:numPr>
          <w:ilvl w:val="1"/>
          <w:numId w:val="2"/>
        </w:numPr>
      </w:pPr>
      <w:r w:rsidRPr="00250184">
        <w:rPr>
          <w:color w:val="000000" w:themeColor="text1"/>
        </w:rPr>
        <w:t>Traditional braces</w:t>
      </w:r>
      <w:r w:rsidRPr="00250184">
        <w:rPr>
          <w:color w:val="FF0000"/>
        </w:rPr>
        <w:t xml:space="preserve"> </w:t>
      </w:r>
      <w:r>
        <w:rPr>
          <w:color w:val="000000" w:themeColor="text1"/>
        </w:rPr>
        <w:t xml:space="preserve">are </w:t>
      </w:r>
      <w:proofErr w:type="spellStart"/>
      <w:r>
        <w:rPr>
          <w:color w:val="000000" w:themeColor="text1"/>
        </w:rPr>
        <w:t>ligated</w:t>
      </w:r>
      <w:proofErr w:type="spellEnd"/>
      <w:r>
        <w:rPr>
          <w:color w:val="000000" w:themeColor="text1"/>
        </w:rPr>
        <w:t xml:space="preserve"> (attached) to the main u-shaped wire by means of an elastic called module. The modules are changed at every visit, but it has been observed in patients treated over many years that:</w:t>
      </w:r>
    </w:p>
    <w:p w:rsidR="00510CD3" w:rsidRDefault="00510CD3" w:rsidP="00510CD3">
      <w:pPr>
        <w:pStyle w:val="ListParagraph"/>
        <w:numPr>
          <w:ilvl w:val="2"/>
          <w:numId w:val="2"/>
        </w:numPr>
      </w:pPr>
      <w:r>
        <w:t>Modules get discolored by food stains</w:t>
      </w:r>
      <w:r w:rsidR="00937C9A">
        <w:t xml:space="preserve"> (image 2)</w:t>
      </w:r>
    </w:p>
    <w:p w:rsidR="00510CD3" w:rsidRDefault="00510CD3" w:rsidP="00510CD3">
      <w:pPr>
        <w:pStyle w:val="ListParagraph"/>
        <w:numPr>
          <w:ilvl w:val="2"/>
          <w:numId w:val="2"/>
        </w:numPr>
      </w:pPr>
      <w:r>
        <w:t>Food collects more around modules</w:t>
      </w:r>
    </w:p>
    <w:p w:rsidR="00510CD3" w:rsidRDefault="00510CD3" w:rsidP="00510CD3">
      <w:pPr>
        <w:pStyle w:val="ListParagraph"/>
        <w:numPr>
          <w:ilvl w:val="2"/>
          <w:numId w:val="2"/>
        </w:numPr>
      </w:pPr>
      <w:r>
        <w:t>The tightening process done at every visit results in slight soreness for next 2-3 days</w:t>
      </w:r>
    </w:p>
    <w:p w:rsidR="00510CD3" w:rsidRDefault="00510CD3" w:rsidP="00510CD3">
      <w:pPr>
        <w:pStyle w:val="ListParagraph"/>
        <w:numPr>
          <w:ilvl w:val="2"/>
          <w:numId w:val="2"/>
        </w:numPr>
      </w:pPr>
      <w:r>
        <w:t>Extractions are necessary in most cases</w:t>
      </w:r>
    </w:p>
    <w:p w:rsidR="00510CD3" w:rsidRDefault="00510CD3" w:rsidP="00510CD3">
      <w:pPr>
        <w:pStyle w:val="ListParagraph"/>
        <w:numPr>
          <w:ilvl w:val="2"/>
          <w:numId w:val="2"/>
        </w:numPr>
      </w:pPr>
      <w:r>
        <w:t>Tightening is compulsory every month</w:t>
      </w:r>
    </w:p>
    <w:p w:rsidR="00250184" w:rsidRDefault="00510CD3" w:rsidP="00510CD3">
      <w:pPr>
        <w:pStyle w:val="ListParagraph"/>
        <w:numPr>
          <w:ilvl w:val="1"/>
          <w:numId w:val="2"/>
        </w:numPr>
      </w:pPr>
      <w:r w:rsidRPr="00250184">
        <w:rPr>
          <w:color w:val="FF0000"/>
        </w:rPr>
        <w:t>Self-</w:t>
      </w:r>
      <w:proofErr w:type="spellStart"/>
      <w:r w:rsidRPr="00250184">
        <w:rPr>
          <w:color w:val="FF0000"/>
        </w:rPr>
        <w:t>Ligating</w:t>
      </w:r>
      <w:proofErr w:type="spellEnd"/>
      <w:r w:rsidRPr="00250184">
        <w:rPr>
          <w:color w:val="FF0000"/>
        </w:rPr>
        <w:t xml:space="preserve"> or Automatic Braces</w:t>
      </w:r>
      <w:r w:rsidR="00937C9A">
        <w:t xml:space="preserve"> </w:t>
      </w:r>
      <w:r w:rsidR="00937C9A">
        <w:rPr>
          <w:color w:val="FF0000"/>
        </w:rPr>
        <w:t>(image 3</w:t>
      </w:r>
      <w:r w:rsidR="00937C9A" w:rsidRPr="00937C9A">
        <w:rPr>
          <w:color w:val="FF0000"/>
        </w:rPr>
        <w:t>)</w:t>
      </w:r>
      <w:r w:rsidR="00937C9A">
        <w:t xml:space="preserve"> </w:t>
      </w:r>
      <w:r w:rsidR="00250184">
        <w:t>also come in a Metal and Ceramic variety.</w:t>
      </w:r>
    </w:p>
    <w:p w:rsidR="00510CD3" w:rsidRDefault="00250184" w:rsidP="00510CD3">
      <w:pPr>
        <w:pStyle w:val="ListParagraph"/>
        <w:numPr>
          <w:ilvl w:val="1"/>
          <w:numId w:val="2"/>
        </w:numPr>
      </w:pPr>
      <w:r>
        <w:t>Self-</w:t>
      </w:r>
      <w:proofErr w:type="spellStart"/>
      <w:r>
        <w:t>ligating</w:t>
      </w:r>
      <w:proofErr w:type="spellEnd"/>
      <w:r>
        <w:t xml:space="preserve"> braces </w:t>
      </w:r>
      <w:r w:rsidR="00510CD3">
        <w:t>do not need modules for tightening. They have a built-in clasp which tightens over the main wire itself, not needed external tightening. This gives the system and edge over the traditional braces:</w:t>
      </w:r>
    </w:p>
    <w:p w:rsidR="00510CD3" w:rsidRDefault="00250184" w:rsidP="00510CD3">
      <w:pPr>
        <w:pStyle w:val="ListParagraph"/>
        <w:numPr>
          <w:ilvl w:val="2"/>
          <w:numId w:val="2"/>
        </w:numPr>
      </w:pPr>
      <w:r>
        <w:t>No modules, no discoloration</w:t>
      </w:r>
    </w:p>
    <w:p w:rsidR="00250184" w:rsidRDefault="00250184" w:rsidP="00510CD3">
      <w:pPr>
        <w:pStyle w:val="ListParagraph"/>
        <w:numPr>
          <w:ilvl w:val="2"/>
          <w:numId w:val="2"/>
        </w:numPr>
      </w:pPr>
      <w:r>
        <w:t>Smaller in size, less visible, less food build up</w:t>
      </w:r>
    </w:p>
    <w:p w:rsidR="00250184" w:rsidRDefault="00250184" w:rsidP="00510CD3">
      <w:pPr>
        <w:pStyle w:val="ListParagraph"/>
        <w:numPr>
          <w:ilvl w:val="2"/>
          <w:numId w:val="2"/>
        </w:numPr>
      </w:pPr>
      <w:r>
        <w:t>No tightening needed, no soreness after every visit</w:t>
      </w:r>
    </w:p>
    <w:p w:rsidR="00250184" w:rsidRDefault="00250184" w:rsidP="00510CD3">
      <w:pPr>
        <w:pStyle w:val="ListParagraph"/>
        <w:numPr>
          <w:ilvl w:val="2"/>
          <w:numId w:val="2"/>
        </w:numPr>
      </w:pPr>
      <w:r>
        <w:lastRenderedPageBreak/>
        <w:t>Extractions can be avoided in most cases</w:t>
      </w:r>
    </w:p>
    <w:p w:rsidR="00250184" w:rsidRDefault="00250184" w:rsidP="00510CD3">
      <w:pPr>
        <w:pStyle w:val="ListParagraph"/>
        <w:numPr>
          <w:ilvl w:val="2"/>
          <w:numId w:val="2"/>
        </w:numPr>
      </w:pPr>
      <w:r>
        <w:t>Self activated, tightening not compulsory every month</w:t>
      </w:r>
    </w:p>
    <w:p w:rsidR="00250184" w:rsidRDefault="00250184" w:rsidP="00250184">
      <w:pPr>
        <w:pStyle w:val="ListParagraph"/>
        <w:numPr>
          <w:ilvl w:val="2"/>
          <w:numId w:val="2"/>
        </w:numPr>
      </w:pPr>
      <w:r>
        <w:t>Ideal for busy students, more comfortable with less visits</w:t>
      </w:r>
    </w:p>
    <w:p w:rsidR="00250184" w:rsidRPr="00250184" w:rsidRDefault="00250184" w:rsidP="00250184">
      <w:pPr>
        <w:pStyle w:val="ListParagraph"/>
        <w:numPr>
          <w:ilvl w:val="0"/>
          <w:numId w:val="2"/>
        </w:numPr>
      </w:pPr>
      <w:r>
        <w:rPr>
          <w:color w:val="FF0000"/>
        </w:rPr>
        <w:t>WHAT  IS THE BEST TIME TO GET BRACES</w:t>
      </w:r>
    </w:p>
    <w:p w:rsidR="00250184" w:rsidRPr="00250184" w:rsidRDefault="00250184" w:rsidP="00250184">
      <w:pPr>
        <w:pStyle w:val="ListParagraph"/>
        <w:numPr>
          <w:ilvl w:val="1"/>
          <w:numId w:val="2"/>
        </w:numPr>
      </w:pPr>
      <w:r>
        <w:rPr>
          <w:color w:val="000000" w:themeColor="text1"/>
        </w:rPr>
        <w:t>The ideal time to get braces is after all the milk teeth of the child have been replaced by permanent teeth, although this age can vary in children due to different eating habits.</w:t>
      </w:r>
    </w:p>
    <w:p w:rsidR="00250184" w:rsidRPr="00250184" w:rsidRDefault="00250184" w:rsidP="00250184">
      <w:pPr>
        <w:pStyle w:val="ListParagraph"/>
        <w:numPr>
          <w:ilvl w:val="1"/>
          <w:numId w:val="2"/>
        </w:numPr>
      </w:pPr>
      <w:r>
        <w:rPr>
          <w:color w:val="000000" w:themeColor="text1"/>
        </w:rPr>
        <w:t>This age coincides with puberty in children; any changes made to the teeth are readily accepted by the body.</w:t>
      </w:r>
    </w:p>
    <w:p w:rsidR="00250184" w:rsidRPr="00595D2F" w:rsidRDefault="00250184" w:rsidP="00250184">
      <w:pPr>
        <w:pStyle w:val="ListParagraph"/>
        <w:numPr>
          <w:ilvl w:val="1"/>
          <w:numId w:val="2"/>
        </w:numPr>
      </w:pPr>
      <w:r>
        <w:rPr>
          <w:color w:val="000000" w:themeColor="text1"/>
        </w:rPr>
        <w:t>Owing to newer advancements in the field of dentistry especially digital scanning procedures, there is no upper age limit of braces treatment. Adults of all age can undergo this treatment.</w:t>
      </w:r>
    </w:p>
    <w:p w:rsidR="00595D2F" w:rsidRPr="00595D2F" w:rsidRDefault="00595D2F" w:rsidP="00595D2F">
      <w:pPr>
        <w:pStyle w:val="ListParagraph"/>
        <w:numPr>
          <w:ilvl w:val="0"/>
          <w:numId w:val="2"/>
        </w:numPr>
      </w:pPr>
      <w:r>
        <w:rPr>
          <w:color w:val="FF0000"/>
        </w:rPr>
        <w:t>WHAT ARE RETAINERS AND WHO NEEDS THEM</w:t>
      </w:r>
    </w:p>
    <w:p w:rsidR="00937C9A" w:rsidRPr="00937C9A" w:rsidRDefault="00595D2F" w:rsidP="00595D2F">
      <w:pPr>
        <w:pStyle w:val="ListParagraph"/>
        <w:numPr>
          <w:ilvl w:val="1"/>
          <w:numId w:val="2"/>
        </w:numPr>
      </w:pPr>
      <w:r w:rsidRPr="00937C9A">
        <w:rPr>
          <w:color w:val="000000" w:themeColor="text1"/>
        </w:rPr>
        <w:t>After the treatment is over, the teeth breathe freely after months and immediately try to go back to their original position. To remind them of their new position, they are restrained or held in place by a device called retainers which prevents them from going back to their original position</w:t>
      </w:r>
      <w:r w:rsidR="00937C9A">
        <w:rPr>
          <w:color w:val="000000" w:themeColor="text1"/>
        </w:rPr>
        <w:t>.</w:t>
      </w:r>
    </w:p>
    <w:p w:rsidR="00595D2F" w:rsidRPr="00595D2F" w:rsidRDefault="00595D2F" w:rsidP="00595D2F">
      <w:pPr>
        <w:pStyle w:val="ListParagraph"/>
        <w:numPr>
          <w:ilvl w:val="1"/>
          <w:numId w:val="2"/>
        </w:numPr>
      </w:pPr>
      <w:r w:rsidRPr="00937C9A">
        <w:rPr>
          <w:color w:val="000000" w:themeColor="text1"/>
        </w:rPr>
        <w:t>Retainers can be removable (for children), invisible (for teens) or fixed at the back surface (for adults</w:t>
      </w:r>
      <w:r w:rsidR="00937C9A">
        <w:rPr>
          <w:color w:val="000000" w:themeColor="text1"/>
        </w:rPr>
        <w:t>) (image 4).</w:t>
      </w:r>
    </w:p>
    <w:p w:rsidR="00595D2F" w:rsidRPr="00595D2F" w:rsidRDefault="00595D2F" w:rsidP="00595D2F">
      <w:pPr>
        <w:pStyle w:val="ListParagraph"/>
        <w:numPr>
          <w:ilvl w:val="1"/>
          <w:numId w:val="2"/>
        </w:numPr>
      </w:pPr>
      <w:r>
        <w:rPr>
          <w:color w:val="000000" w:themeColor="text1"/>
        </w:rPr>
        <w:t>They need to be worn for 6-12 months depending on the original condition of teeth.</w:t>
      </w:r>
    </w:p>
    <w:p w:rsidR="00595D2F" w:rsidRPr="00595D2F" w:rsidRDefault="00595D2F" w:rsidP="00595D2F">
      <w:pPr>
        <w:pStyle w:val="ListParagraph"/>
        <w:numPr>
          <w:ilvl w:val="0"/>
          <w:numId w:val="2"/>
        </w:numPr>
      </w:pPr>
      <w:r>
        <w:rPr>
          <w:color w:val="FF0000"/>
        </w:rPr>
        <w:t>WHAT DO I EAT OR DRINK AFTER GETTING BRACES</w:t>
      </w:r>
    </w:p>
    <w:p w:rsidR="00595D2F" w:rsidRDefault="00595D2F" w:rsidP="00595D2F">
      <w:pPr>
        <w:pStyle w:val="ListParagraph"/>
        <w:numPr>
          <w:ilvl w:val="1"/>
          <w:numId w:val="2"/>
        </w:numPr>
        <w:rPr>
          <w:color w:val="000000" w:themeColor="text1"/>
        </w:rPr>
      </w:pPr>
      <w:r w:rsidRPr="00595D2F">
        <w:rPr>
          <w:color w:val="000000" w:themeColor="text1"/>
        </w:rPr>
        <w:t>We understand that</w:t>
      </w:r>
      <w:r>
        <w:rPr>
          <w:color w:val="000000" w:themeColor="text1"/>
        </w:rPr>
        <w:t xml:space="preserve"> in growing years, it’s difficult to put eating restrictions on children or teens, let’s face it, we love pizza too!</w:t>
      </w:r>
    </w:p>
    <w:p w:rsidR="00595D2F" w:rsidRDefault="00595D2F" w:rsidP="00595D2F">
      <w:pPr>
        <w:pStyle w:val="ListParagraph"/>
        <w:numPr>
          <w:ilvl w:val="1"/>
          <w:numId w:val="2"/>
        </w:numPr>
        <w:rPr>
          <w:color w:val="000000" w:themeColor="text1"/>
        </w:rPr>
      </w:pPr>
      <w:r>
        <w:rPr>
          <w:color w:val="000000" w:themeColor="text1"/>
        </w:rPr>
        <w:t>There are simple food restrictions with braces, which if followed can allow you to eat all your favorite foods with ease.</w:t>
      </w:r>
    </w:p>
    <w:p w:rsidR="00595D2F" w:rsidRDefault="00595D2F" w:rsidP="00595D2F">
      <w:pPr>
        <w:pStyle w:val="ListParagraph"/>
        <w:numPr>
          <w:ilvl w:val="1"/>
          <w:numId w:val="2"/>
        </w:numPr>
        <w:rPr>
          <w:color w:val="000000" w:themeColor="text1"/>
        </w:rPr>
      </w:pPr>
      <w:r>
        <w:rPr>
          <w:color w:val="000000" w:themeColor="text1"/>
        </w:rPr>
        <w:t>The rule is never to eat from the front teeth, always break or cut food into small pieces and eat from the back teeth, the chewing continues but the biting stops.</w:t>
      </w:r>
    </w:p>
    <w:p w:rsidR="00595D2F" w:rsidRDefault="00595D2F" w:rsidP="00595D2F">
      <w:pPr>
        <w:pStyle w:val="ListParagraph"/>
        <w:numPr>
          <w:ilvl w:val="1"/>
          <w:numId w:val="2"/>
        </w:numPr>
        <w:rPr>
          <w:color w:val="000000" w:themeColor="text1"/>
        </w:rPr>
      </w:pPr>
      <w:r>
        <w:rPr>
          <w:color w:val="000000" w:themeColor="text1"/>
        </w:rPr>
        <w:t>Avoid extremely hard or sticky things, especially raw apple or guava, popcorn, walnuts, five star, éclairs etc.</w:t>
      </w:r>
    </w:p>
    <w:p w:rsidR="00595D2F" w:rsidRDefault="00595D2F" w:rsidP="00595D2F">
      <w:pPr>
        <w:pStyle w:val="ListParagraph"/>
        <w:numPr>
          <w:ilvl w:val="1"/>
          <w:numId w:val="2"/>
        </w:numPr>
        <w:rPr>
          <w:color w:val="000000" w:themeColor="text1"/>
        </w:rPr>
      </w:pPr>
      <w:r>
        <w:rPr>
          <w:color w:val="000000" w:themeColor="text1"/>
        </w:rPr>
        <w:t xml:space="preserve">If you are innovative and careful you can eat almost anything. If craving pizza, avoid the crust and eat the middle with fork and knife. If craving ice cream, avoid the cone ones and choose the cup ones. If craving chocolate, avoid the fruit and nut </w:t>
      </w:r>
      <w:r w:rsidR="00937C9A">
        <w:rPr>
          <w:color w:val="000000" w:themeColor="text1"/>
        </w:rPr>
        <w:t>ones;</w:t>
      </w:r>
      <w:r>
        <w:rPr>
          <w:color w:val="000000" w:themeColor="text1"/>
        </w:rPr>
        <w:t xml:space="preserve"> choose a plain one, slightly </w:t>
      </w:r>
      <w:proofErr w:type="spellStart"/>
      <w:r>
        <w:rPr>
          <w:color w:val="000000" w:themeColor="text1"/>
        </w:rPr>
        <w:t>microwaved</w:t>
      </w:r>
      <w:proofErr w:type="spellEnd"/>
      <w:r>
        <w:rPr>
          <w:color w:val="000000" w:themeColor="text1"/>
        </w:rPr>
        <w:t>.</w:t>
      </w:r>
    </w:p>
    <w:p w:rsidR="00595D2F" w:rsidRDefault="00595D2F" w:rsidP="00595D2F">
      <w:pPr>
        <w:rPr>
          <w:color w:val="000000" w:themeColor="text1"/>
        </w:rPr>
      </w:pPr>
    </w:p>
    <w:p w:rsidR="00595D2F" w:rsidRDefault="00595D2F" w:rsidP="00595D2F">
      <w:pPr>
        <w:rPr>
          <w:color w:val="000000" w:themeColor="text1"/>
        </w:rPr>
      </w:pPr>
    </w:p>
    <w:p w:rsidR="00595D2F" w:rsidRDefault="00595D2F" w:rsidP="00595D2F">
      <w:pPr>
        <w:rPr>
          <w:color w:val="000000" w:themeColor="text1"/>
        </w:rPr>
      </w:pPr>
    </w:p>
    <w:p w:rsidR="00595D2F" w:rsidRDefault="00595D2F" w:rsidP="00595D2F">
      <w:pPr>
        <w:rPr>
          <w:color w:val="000000" w:themeColor="text1"/>
        </w:rPr>
      </w:pPr>
    </w:p>
    <w:p w:rsidR="00595D2F" w:rsidRDefault="00595D2F" w:rsidP="00595D2F">
      <w:pPr>
        <w:rPr>
          <w:color w:val="000000" w:themeColor="text1"/>
        </w:rPr>
      </w:pPr>
    </w:p>
    <w:p w:rsidR="00595D2F" w:rsidRDefault="00595D2F" w:rsidP="00595D2F">
      <w:pPr>
        <w:rPr>
          <w:color w:val="000000" w:themeColor="text1"/>
        </w:rPr>
      </w:pPr>
    </w:p>
    <w:p w:rsidR="00937C9A" w:rsidRDefault="00595D2F" w:rsidP="00595D2F">
      <w:pPr>
        <w:rPr>
          <w:color w:val="000000" w:themeColor="text1"/>
        </w:rPr>
      </w:pPr>
      <w:r>
        <w:rPr>
          <w:noProof/>
          <w:color w:val="000000" w:themeColor="text1"/>
        </w:rPr>
        <w:lastRenderedPageBreak/>
        <w:drawing>
          <wp:inline distT="0" distB="0" distL="0" distR="0">
            <wp:extent cx="2867025" cy="1600200"/>
            <wp:effectExtent l="19050" t="0" r="9525" b="0"/>
            <wp:docPr id="2" name="Picture 1" descr="C:\Users\DELL\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12.jpg"/>
                    <pic:cNvPicPr>
                      <a:picLocks noChangeAspect="1" noChangeArrowheads="1"/>
                    </pic:cNvPicPr>
                  </pic:nvPicPr>
                  <pic:blipFill>
                    <a:blip r:embed="rId9"/>
                    <a:srcRect/>
                    <a:stretch>
                      <a:fillRect/>
                    </a:stretch>
                  </pic:blipFill>
                  <pic:spPr bwMode="auto">
                    <a:xfrm>
                      <a:off x="0" y="0"/>
                      <a:ext cx="2867025" cy="1600200"/>
                    </a:xfrm>
                    <a:prstGeom prst="rect">
                      <a:avLst/>
                    </a:prstGeom>
                    <a:noFill/>
                    <a:ln w="9525">
                      <a:noFill/>
                      <a:miter lim="800000"/>
                      <a:headEnd/>
                      <a:tailEnd/>
                    </a:ln>
                  </pic:spPr>
                </pic:pic>
              </a:graphicData>
            </a:graphic>
          </wp:inline>
        </w:drawing>
      </w:r>
      <w:r w:rsidR="00937C9A">
        <w:rPr>
          <w:color w:val="000000" w:themeColor="text1"/>
        </w:rPr>
        <w:t xml:space="preserve"> </w:t>
      </w:r>
      <w:proofErr w:type="gramStart"/>
      <w:r w:rsidR="00937C9A">
        <w:rPr>
          <w:color w:val="000000" w:themeColor="text1"/>
        </w:rPr>
        <w:t>image</w:t>
      </w:r>
      <w:proofErr w:type="gramEnd"/>
      <w:r w:rsidR="00937C9A">
        <w:rPr>
          <w:color w:val="000000" w:themeColor="text1"/>
        </w:rPr>
        <w:t xml:space="preserve"> 1</w:t>
      </w:r>
    </w:p>
    <w:p w:rsidR="00937C9A" w:rsidRDefault="00937C9A" w:rsidP="00595D2F">
      <w:pPr>
        <w:rPr>
          <w:color w:val="000000" w:themeColor="text1"/>
        </w:rPr>
      </w:pPr>
    </w:p>
    <w:p w:rsidR="00937C9A" w:rsidRDefault="00937C9A" w:rsidP="00595D2F">
      <w:pPr>
        <w:rPr>
          <w:color w:val="000000" w:themeColor="text1"/>
        </w:rPr>
      </w:pPr>
    </w:p>
    <w:p w:rsidR="00937C9A" w:rsidRDefault="00937C9A" w:rsidP="00595D2F">
      <w:pPr>
        <w:rPr>
          <w:color w:val="000000" w:themeColor="text1"/>
        </w:rPr>
      </w:pPr>
    </w:p>
    <w:p w:rsidR="00937C9A" w:rsidRDefault="00937C9A" w:rsidP="00595D2F">
      <w:pPr>
        <w:rPr>
          <w:color w:val="000000" w:themeColor="text1"/>
        </w:rPr>
      </w:pPr>
    </w:p>
    <w:p w:rsidR="00937C9A" w:rsidRDefault="00937C9A" w:rsidP="00595D2F">
      <w:pPr>
        <w:rPr>
          <w:color w:val="000000" w:themeColor="text1"/>
        </w:rPr>
      </w:pPr>
    </w:p>
    <w:p w:rsidR="00937C9A" w:rsidRDefault="00937C9A" w:rsidP="00595D2F">
      <w:pPr>
        <w:rPr>
          <w:color w:val="000000" w:themeColor="text1"/>
        </w:rPr>
      </w:pPr>
    </w:p>
    <w:p w:rsidR="00595D2F" w:rsidRDefault="00937C9A" w:rsidP="00595D2F">
      <w:pPr>
        <w:rPr>
          <w:color w:val="000000" w:themeColor="text1"/>
        </w:rPr>
      </w:pPr>
      <w:r>
        <w:rPr>
          <w:noProof/>
          <w:color w:val="000000" w:themeColor="text1"/>
        </w:rPr>
        <w:drawing>
          <wp:inline distT="0" distB="0" distL="0" distR="0">
            <wp:extent cx="4419600" cy="3267075"/>
            <wp:effectExtent l="19050" t="0" r="0" b="0"/>
            <wp:docPr id="5" name="Picture 4" descr="C:\Users\DELL\Desktop\1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1233.png"/>
                    <pic:cNvPicPr>
                      <a:picLocks noChangeAspect="1" noChangeArrowheads="1"/>
                    </pic:cNvPicPr>
                  </pic:nvPicPr>
                  <pic:blipFill>
                    <a:blip r:embed="rId10"/>
                    <a:srcRect b="7297"/>
                    <a:stretch>
                      <a:fillRect/>
                    </a:stretch>
                  </pic:blipFill>
                  <pic:spPr bwMode="auto">
                    <a:xfrm>
                      <a:off x="0" y="0"/>
                      <a:ext cx="4419600" cy="3267075"/>
                    </a:xfrm>
                    <a:prstGeom prst="rect">
                      <a:avLst/>
                    </a:prstGeom>
                    <a:noFill/>
                    <a:ln w="9525">
                      <a:noFill/>
                      <a:miter lim="800000"/>
                      <a:headEnd/>
                      <a:tailEnd/>
                    </a:ln>
                  </pic:spPr>
                </pic:pic>
              </a:graphicData>
            </a:graphic>
          </wp:inline>
        </w:drawing>
      </w:r>
      <w:r>
        <w:rPr>
          <w:color w:val="000000" w:themeColor="text1"/>
        </w:rPr>
        <w:t xml:space="preserve">  </w:t>
      </w:r>
      <w:proofErr w:type="gramStart"/>
      <w:r>
        <w:rPr>
          <w:color w:val="000000" w:themeColor="text1"/>
        </w:rPr>
        <w:t>image</w:t>
      </w:r>
      <w:proofErr w:type="gramEnd"/>
      <w:r>
        <w:rPr>
          <w:color w:val="000000" w:themeColor="text1"/>
        </w:rPr>
        <w:t xml:space="preserve"> 2</w:t>
      </w:r>
    </w:p>
    <w:p w:rsidR="00937C9A" w:rsidRDefault="00937C9A" w:rsidP="00595D2F">
      <w:pPr>
        <w:rPr>
          <w:color w:val="000000" w:themeColor="text1"/>
        </w:rPr>
      </w:pPr>
    </w:p>
    <w:p w:rsidR="00937C9A" w:rsidRDefault="00937C9A" w:rsidP="00595D2F">
      <w:pPr>
        <w:rPr>
          <w:color w:val="000000" w:themeColor="text1"/>
        </w:rPr>
      </w:pPr>
      <w:r>
        <w:rPr>
          <w:noProof/>
          <w:color w:val="000000" w:themeColor="text1"/>
        </w:rPr>
        <w:lastRenderedPageBreak/>
        <w:drawing>
          <wp:inline distT="0" distB="0" distL="0" distR="0">
            <wp:extent cx="3438525" cy="1333500"/>
            <wp:effectExtent l="19050" t="0" r="9525" b="0"/>
            <wp:docPr id="4" name="Picture 3" descr="C:\Users\DELL\Desktop\1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1223.jpg"/>
                    <pic:cNvPicPr>
                      <a:picLocks noChangeAspect="1" noChangeArrowheads="1"/>
                    </pic:cNvPicPr>
                  </pic:nvPicPr>
                  <pic:blipFill>
                    <a:blip r:embed="rId11"/>
                    <a:srcRect/>
                    <a:stretch>
                      <a:fillRect/>
                    </a:stretch>
                  </pic:blipFill>
                  <pic:spPr bwMode="auto">
                    <a:xfrm>
                      <a:off x="0" y="0"/>
                      <a:ext cx="3438525" cy="1333500"/>
                    </a:xfrm>
                    <a:prstGeom prst="rect">
                      <a:avLst/>
                    </a:prstGeom>
                    <a:noFill/>
                    <a:ln w="9525">
                      <a:noFill/>
                      <a:miter lim="800000"/>
                      <a:headEnd/>
                      <a:tailEnd/>
                    </a:ln>
                  </pic:spPr>
                </pic:pic>
              </a:graphicData>
            </a:graphic>
          </wp:inline>
        </w:drawing>
      </w:r>
      <w:r>
        <w:rPr>
          <w:color w:val="000000" w:themeColor="text1"/>
        </w:rPr>
        <w:t xml:space="preserve"> </w:t>
      </w:r>
      <w:proofErr w:type="gramStart"/>
      <w:r>
        <w:rPr>
          <w:color w:val="000000" w:themeColor="text1"/>
        </w:rPr>
        <w:t>image</w:t>
      </w:r>
      <w:proofErr w:type="gramEnd"/>
      <w:r>
        <w:rPr>
          <w:color w:val="000000" w:themeColor="text1"/>
        </w:rPr>
        <w:t xml:space="preserve"> 3</w:t>
      </w:r>
    </w:p>
    <w:p w:rsidR="00937C9A" w:rsidRDefault="00937C9A" w:rsidP="00595D2F">
      <w:pPr>
        <w:rPr>
          <w:color w:val="000000" w:themeColor="text1"/>
        </w:rPr>
      </w:pPr>
    </w:p>
    <w:p w:rsidR="00937C9A" w:rsidRDefault="00937C9A" w:rsidP="00595D2F">
      <w:pPr>
        <w:rPr>
          <w:color w:val="000000" w:themeColor="text1"/>
        </w:rPr>
      </w:pPr>
    </w:p>
    <w:p w:rsidR="00937C9A" w:rsidRPr="00595D2F" w:rsidRDefault="00937C9A" w:rsidP="00595D2F">
      <w:pPr>
        <w:rPr>
          <w:color w:val="000000" w:themeColor="text1"/>
        </w:rPr>
      </w:pPr>
      <w:r>
        <w:rPr>
          <w:noProof/>
          <w:color w:val="000000" w:themeColor="text1"/>
        </w:rPr>
        <w:drawing>
          <wp:inline distT="0" distB="0" distL="0" distR="0">
            <wp:extent cx="1962150" cy="2857500"/>
            <wp:effectExtent l="19050" t="0" r="0" b="0"/>
            <wp:docPr id="6" name="Picture 5" descr="C:\Users\DELL\Desktop\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1234.jpg"/>
                    <pic:cNvPicPr>
                      <a:picLocks noChangeAspect="1" noChangeArrowheads="1"/>
                    </pic:cNvPicPr>
                  </pic:nvPicPr>
                  <pic:blipFill>
                    <a:blip r:embed="rId12"/>
                    <a:srcRect/>
                    <a:stretch>
                      <a:fillRect/>
                    </a:stretch>
                  </pic:blipFill>
                  <pic:spPr bwMode="auto">
                    <a:xfrm>
                      <a:off x="0" y="0"/>
                      <a:ext cx="1962150" cy="2857500"/>
                    </a:xfrm>
                    <a:prstGeom prst="rect">
                      <a:avLst/>
                    </a:prstGeom>
                    <a:noFill/>
                    <a:ln w="9525">
                      <a:noFill/>
                      <a:miter lim="800000"/>
                      <a:headEnd/>
                      <a:tailEnd/>
                    </a:ln>
                  </pic:spPr>
                </pic:pic>
              </a:graphicData>
            </a:graphic>
          </wp:inline>
        </w:drawing>
      </w:r>
      <w:r>
        <w:rPr>
          <w:color w:val="000000" w:themeColor="text1"/>
        </w:rPr>
        <w:t xml:space="preserve"> </w:t>
      </w:r>
      <w:proofErr w:type="gramStart"/>
      <w:r>
        <w:rPr>
          <w:color w:val="000000" w:themeColor="text1"/>
        </w:rPr>
        <w:t>image</w:t>
      </w:r>
      <w:proofErr w:type="gramEnd"/>
      <w:r>
        <w:rPr>
          <w:color w:val="000000" w:themeColor="text1"/>
        </w:rPr>
        <w:t xml:space="preserve"> 4</w:t>
      </w:r>
    </w:p>
    <w:sectPr w:rsidR="00937C9A" w:rsidRPr="00595D2F" w:rsidSect="00CE34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54C9F"/>
    <w:multiLevelType w:val="hybridMultilevel"/>
    <w:tmpl w:val="85EAED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F4B3CEC"/>
    <w:multiLevelType w:val="hybridMultilevel"/>
    <w:tmpl w:val="B9EE73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0CD3"/>
    <w:rsid w:val="00250184"/>
    <w:rsid w:val="00510CD3"/>
    <w:rsid w:val="00595D2F"/>
    <w:rsid w:val="00937C9A"/>
    <w:rsid w:val="00CE3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CD3"/>
    <w:pPr>
      <w:ind w:left="720"/>
      <w:contextualSpacing/>
    </w:pPr>
  </w:style>
  <w:style w:type="paragraph" w:styleId="BalloonText">
    <w:name w:val="Balloon Text"/>
    <w:basedOn w:val="Normal"/>
    <w:link w:val="BalloonTextChar"/>
    <w:uiPriority w:val="99"/>
    <w:semiHidden/>
    <w:unhideWhenUsed/>
    <w:rsid w:val="00510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3.jpeg"/><Relationship Id="rId5" Type="http://schemas.openxmlformats.org/officeDocument/2006/relationships/diagramData" Target="diagrams/data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ADEE15-EC86-4BAC-91BE-CB5EB7417642}"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3E49D59A-8E54-4A8A-849C-4AA0346F7FDC}">
      <dgm:prSet phldrT="[Text]"/>
      <dgm:spPr/>
      <dgm:t>
        <a:bodyPr/>
        <a:lstStyle/>
        <a:p>
          <a:r>
            <a:rPr lang="en-US"/>
            <a:t>TRADITIONAL BRACES</a:t>
          </a:r>
        </a:p>
      </dgm:t>
    </dgm:pt>
    <dgm:pt modelId="{872996CF-3336-469B-9681-223662C59225}" type="parTrans" cxnId="{ECFC55C5-2CF3-4831-BF4E-79AF5E2CCFE6}">
      <dgm:prSet/>
      <dgm:spPr/>
      <dgm:t>
        <a:bodyPr/>
        <a:lstStyle/>
        <a:p>
          <a:endParaRPr lang="en-US"/>
        </a:p>
      </dgm:t>
    </dgm:pt>
    <dgm:pt modelId="{4CEAEC23-1C57-4B0B-8869-0F6C4CD8E579}" type="sibTrans" cxnId="{ECFC55C5-2CF3-4831-BF4E-79AF5E2CCFE6}">
      <dgm:prSet/>
      <dgm:spPr/>
      <dgm:t>
        <a:bodyPr/>
        <a:lstStyle/>
        <a:p>
          <a:endParaRPr lang="en-US"/>
        </a:p>
      </dgm:t>
    </dgm:pt>
    <dgm:pt modelId="{9ED35B10-5844-4FC2-8B3E-C8937F7FD80B}">
      <dgm:prSet phldrT="[Text]"/>
      <dgm:spPr/>
      <dgm:t>
        <a:bodyPr/>
        <a:lstStyle/>
        <a:p>
          <a:r>
            <a:rPr lang="en-US"/>
            <a:t>METAL</a:t>
          </a:r>
        </a:p>
      </dgm:t>
    </dgm:pt>
    <dgm:pt modelId="{8B545D1E-B94D-48E7-877C-1B5ACF2D3A53}" type="parTrans" cxnId="{13792789-82C3-4FF0-82D4-385FAFA7376D}">
      <dgm:prSet/>
      <dgm:spPr/>
      <dgm:t>
        <a:bodyPr/>
        <a:lstStyle/>
        <a:p>
          <a:endParaRPr lang="en-US"/>
        </a:p>
      </dgm:t>
    </dgm:pt>
    <dgm:pt modelId="{EE3422F9-BFD9-4B7C-8ADC-D50939EDD0D1}" type="sibTrans" cxnId="{13792789-82C3-4FF0-82D4-385FAFA7376D}">
      <dgm:prSet/>
      <dgm:spPr/>
      <dgm:t>
        <a:bodyPr/>
        <a:lstStyle/>
        <a:p>
          <a:endParaRPr lang="en-US"/>
        </a:p>
      </dgm:t>
    </dgm:pt>
    <dgm:pt modelId="{01CCCD8E-2B43-48D0-AEB9-7804B41A02D9}">
      <dgm:prSet phldrT="[Text]"/>
      <dgm:spPr/>
      <dgm:t>
        <a:bodyPr/>
        <a:lstStyle/>
        <a:p>
          <a:r>
            <a:rPr lang="en-US"/>
            <a:t>CERAMIC</a:t>
          </a:r>
        </a:p>
      </dgm:t>
    </dgm:pt>
    <dgm:pt modelId="{96F20F30-D572-488A-AD4E-9E40D1019C24}" type="parTrans" cxnId="{2598F5A8-B699-48E9-A48D-8AF1C075BA7C}">
      <dgm:prSet/>
      <dgm:spPr/>
      <dgm:t>
        <a:bodyPr/>
        <a:lstStyle/>
        <a:p>
          <a:endParaRPr lang="en-US"/>
        </a:p>
      </dgm:t>
    </dgm:pt>
    <dgm:pt modelId="{D1683D33-ED2F-4D58-8938-9E80F362FFFD}" type="sibTrans" cxnId="{2598F5A8-B699-48E9-A48D-8AF1C075BA7C}">
      <dgm:prSet/>
      <dgm:spPr/>
      <dgm:t>
        <a:bodyPr/>
        <a:lstStyle/>
        <a:p>
          <a:endParaRPr lang="en-US"/>
        </a:p>
      </dgm:t>
    </dgm:pt>
    <dgm:pt modelId="{0C82BD10-F6B5-4EDF-9A05-D115B2B10B54}">
      <dgm:prSet phldrT="[Text]"/>
      <dgm:spPr/>
      <dgm:t>
        <a:bodyPr/>
        <a:lstStyle/>
        <a:p>
          <a:r>
            <a:rPr lang="en-US"/>
            <a:t>SELF LIGATING BRACES</a:t>
          </a:r>
        </a:p>
      </dgm:t>
    </dgm:pt>
    <dgm:pt modelId="{4480108A-CEEE-4E91-8994-5A9353BC44CC}" type="parTrans" cxnId="{0BEF53EB-2C55-46C7-8827-9CAB845614C8}">
      <dgm:prSet/>
      <dgm:spPr/>
      <dgm:t>
        <a:bodyPr/>
        <a:lstStyle/>
        <a:p>
          <a:endParaRPr lang="en-US"/>
        </a:p>
      </dgm:t>
    </dgm:pt>
    <dgm:pt modelId="{A89986B6-C309-4A8A-8D04-669F541098FB}" type="sibTrans" cxnId="{0BEF53EB-2C55-46C7-8827-9CAB845614C8}">
      <dgm:prSet/>
      <dgm:spPr/>
      <dgm:t>
        <a:bodyPr/>
        <a:lstStyle/>
        <a:p>
          <a:endParaRPr lang="en-US"/>
        </a:p>
      </dgm:t>
    </dgm:pt>
    <dgm:pt modelId="{05039F86-1B5D-4647-B7D8-C52DB48FA239}">
      <dgm:prSet phldrT="[Text]"/>
      <dgm:spPr/>
      <dgm:t>
        <a:bodyPr/>
        <a:lstStyle/>
        <a:p>
          <a:r>
            <a:rPr lang="en-US"/>
            <a:t>METAL</a:t>
          </a:r>
        </a:p>
      </dgm:t>
    </dgm:pt>
    <dgm:pt modelId="{F9559ED6-F179-4154-BC81-3F6D9C10B453}" type="parTrans" cxnId="{48E98359-5577-470D-B927-3057EC78E3AB}">
      <dgm:prSet/>
      <dgm:spPr/>
      <dgm:t>
        <a:bodyPr/>
        <a:lstStyle/>
        <a:p>
          <a:endParaRPr lang="en-US"/>
        </a:p>
      </dgm:t>
    </dgm:pt>
    <dgm:pt modelId="{2B48653B-58E5-4CA6-BEDF-36E7C8F70168}" type="sibTrans" cxnId="{48E98359-5577-470D-B927-3057EC78E3AB}">
      <dgm:prSet/>
      <dgm:spPr/>
      <dgm:t>
        <a:bodyPr/>
        <a:lstStyle/>
        <a:p>
          <a:endParaRPr lang="en-US"/>
        </a:p>
      </dgm:t>
    </dgm:pt>
    <dgm:pt modelId="{3ACAF813-E3CF-42A4-876B-9A0C89C514FE}">
      <dgm:prSet phldrT="[Text]"/>
      <dgm:spPr/>
      <dgm:t>
        <a:bodyPr/>
        <a:lstStyle/>
        <a:p>
          <a:r>
            <a:rPr lang="en-US"/>
            <a:t>CERAMIC</a:t>
          </a:r>
        </a:p>
      </dgm:t>
    </dgm:pt>
    <dgm:pt modelId="{37D0A9F7-A3A3-4D2A-8D22-E8B6BA6A367E}" type="parTrans" cxnId="{50999E36-F4ED-46E4-A6F6-31FA35962252}">
      <dgm:prSet/>
      <dgm:spPr/>
      <dgm:t>
        <a:bodyPr/>
        <a:lstStyle/>
        <a:p>
          <a:endParaRPr lang="en-US"/>
        </a:p>
      </dgm:t>
    </dgm:pt>
    <dgm:pt modelId="{FBDC47AC-EA89-4F72-97E4-B8EAA1275D57}" type="sibTrans" cxnId="{50999E36-F4ED-46E4-A6F6-31FA35962252}">
      <dgm:prSet/>
      <dgm:spPr/>
      <dgm:t>
        <a:bodyPr/>
        <a:lstStyle/>
        <a:p>
          <a:endParaRPr lang="en-US"/>
        </a:p>
      </dgm:t>
    </dgm:pt>
    <dgm:pt modelId="{39E4B9A2-56E7-427A-92D4-6BCDB63C7C0E}" type="pres">
      <dgm:prSet presAssocID="{3DADEE15-EC86-4BAC-91BE-CB5EB7417642}" presName="diagram" presStyleCnt="0">
        <dgm:presLayoutVars>
          <dgm:chPref val="1"/>
          <dgm:dir/>
          <dgm:animOne val="branch"/>
          <dgm:animLvl val="lvl"/>
          <dgm:resizeHandles/>
        </dgm:presLayoutVars>
      </dgm:prSet>
      <dgm:spPr/>
    </dgm:pt>
    <dgm:pt modelId="{36C9DCB8-263B-4589-B446-43C7C346E562}" type="pres">
      <dgm:prSet presAssocID="{3E49D59A-8E54-4A8A-849C-4AA0346F7FDC}" presName="root" presStyleCnt="0"/>
      <dgm:spPr/>
    </dgm:pt>
    <dgm:pt modelId="{67BDBB04-8E26-4C8B-81DC-05E752887D41}" type="pres">
      <dgm:prSet presAssocID="{3E49D59A-8E54-4A8A-849C-4AA0346F7FDC}" presName="rootComposite" presStyleCnt="0"/>
      <dgm:spPr/>
    </dgm:pt>
    <dgm:pt modelId="{127E5166-3ED5-4984-8F8B-5B7597FCEF57}" type="pres">
      <dgm:prSet presAssocID="{3E49D59A-8E54-4A8A-849C-4AA0346F7FDC}" presName="rootText" presStyleLbl="node1" presStyleIdx="0" presStyleCnt="2"/>
      <dgm:spPr/>
    </dgm:pt>
    <dgm:pt modelId="{C1D95C42-4B4D-48F7-A73A-7FC7B17D88A8}" type="pres">
      <dgm:prSet presAssocID="{3E49D59A-8E54-4A8A-849C-4AA0346F7FDC}" presName="rootConnector" presStyleLbl="node1" presStyleIdx="0" presStyleCnt="2"/>
      <dgm:spPr/>
    </dgm:pt>
    <dgm:pt modelId="{D9F4665C-623E-4FB4-AE4B-5B418E2E3E50}" type="pres">
      <dgm:prSet presAssocID="{3E49D59A-8E54-4A8A-849C-4AA0346F7FDC}" presName="childShape" presStyleCnt="0"/>
      <dgm:spPr/>
    </dgm:pt>
    <dgm:pt modelId="{515D3C5F-9835-4150-BC68-87258928CCD3}" type="pres">
      <dgm:prSet presAssocID="{8B545D1E-B94D-48E7-877C-1B5ACF2D3A53}" presName="Name13" presStyleLbl="parChTrans1D2" presStyleIdx="0" presStyleCnt="4"/>
      <dgm:spPr/>
    </dgm:pt>
    <dgm:pt modelId="{561199D6-7DB4-4F1B-A5D3-460EA6B2CB6E}" type="pres">
      <dgm:prSet presAssocID="{9ED35B10-5844-4FC2-8B3E-C8937F7FD80B}" presName="childText" presStyleLbl="bgAcc1" presStyleIdx="0" presStyleCnt="4">
        <dgm:presLayoutVars>
          <dgm:bulletEnabled val="1"/>
        </dgm:presLayoutVars>
      </dgm:prSet>
      <dgm:spPr/>
    </dgm:pt>
    <dgm:pt modelId="{C23E85C6-A833-46DF-83EF-D85E9A09E4E3}" type="pres">
      <dgm:prSet presAssocID="{96F20F30-D572-488A-AD4E-9E40D1019C24}" presName="Name13" presStyleLbl="parChTrans1D2" presStyleIdx="1" presStyleCnt="4"/>
      <dgm:spPr/>
    </dgm:pt>
    <dgm:pt modelId="{502CE649-BF7C-4226-9F06-C973DEF5F108}" type="pres">
      <dgm:prSet presAssocID="{01CCCD8E-2B43-48D0-AEB9-7804B41A02D9}" presName="childText" presStyleLbl="bgAcc1" presStyleIdx="1" presStyleCnt="4">
        <dgm:presLayoutVars>
          <dgm:bulletEnabled val="1"/>
        </dgm:presLayoutVars>
      </dgm:prSet>
      <dgm:spPr/>
    </dgm:pt>
    <dgm:pt modelId="{7B418EAD-D9BE-43D1-A489-04DC414FDF43}" type="pres">
      <dgm:prSet presAssocID="{0C82BD10-F6B5-4EDF-9A05-D115B2B10B54}" presName="root" presStyleCnt="0"/>
      <dgm:spPr/>
    </dgm:pt>
    <dgm:pt modelId="{66493AB2-9035-47E9-BE09-F26F1EF8E415}" type="pres">
      <dgm:prSet presAssocID="{0C82BD10-F6B5-4EDF-9A05-D115B2B10B54}" presName="rootComposite" presStyleCnt="0"/>
      <dgm:spPr/>
    </dgm:pt>
    <dgm:pt modelId="{162FC920-21EC-4966-8F6F-27FE753D84CB}" type="pres">
      <dgm:prSet presAssocID="{0C82BD10-F6B5-4EDF-9A05-D115B2B10B54}" presName="rootText" presStyleLbl="node1" presStyleIdx="1" presStyleCnt="2"/>
      <dgm:spPr/>
    </dgm:pt>
    <dgm:pt modelId="{C373203F-277D-42ED-A417-5FFED5724782}" type="pres">
      <dgm:prSet presAssocID="{0C82BD10-F6B5-4EDF-9A05-D115B2B10B54}" presName="rootConnector" presStyleLbl="node1" presStyleIdx="1" presStyleCnt="2"/>
      <dgm:spPr/>
    </dgm:pt>
    <dgm:pt modelId="{D9FA1666-D65B-497F-91AC-7A1FCB315C1B}" type="pres">
      <dgm:prSet presAssocID="{0C82BD10-F6B5-4EDF-9A05-D115B2B10B54}" presName="childShape" presStyleCnt="0"/>
      <dgm:spPr/>
    </dgm:pt>
    <dgm:pt modelId="{F9983FDE-4A9A-42BF-96D7-98F2C1C586E8}" type="pres">
      <dgm:prSet presAssocID="{F9559ED6-F179-4154-BC81-3F6D9C10B453}" presName="Name13" presStyleLbl="parChTrans1D2" presStyleIdx="2" presStyleCnt="4"/>
      <dgm:spPr/>
    </dgm:pt>
    <dgm:pt modelId="{B0550F56-AA87-47B9-8F9B-99B768F9D2B9}" type="pres">
      <dgm:prSet presAssocID="{05039F86-1B5D-4647-B7D8-C52DB48FA239}" presName="childText" presStyleLbl="bgAcc1" presStyleIdx="2" presStyleCnt="4">
        <dgm:presLayoutVars>
          <dgm:bulletEnabled val="1"/>
        </dgm:presLayoutVars>
      </dgm:prSet>
      <dgm:spPr/>
    </dgm:pt>
    <dgm:pt modelId="{EA0290C9-1D45-4C1B-8C19-0FCD766DB3D7}" type="pres">
      <dgm:prSet presAssocID="{37D0A9F7-A3A3-4D2A-8D22-E8B6BA6A367E}" presName="Name13" presStyleLbl="parChTrans1D2" presStyleIdx="3" presStyleCnt="4"/>
      <dgm:spPr/>
    </dgm:pt>
    <dgm:pt modelId="{25F396E9-2697-48ED-A182-249957FEB579}" type="pres">
      <dgm:prSet presAssocID="{3ACAF813-E3CF-42A4-876B-9A0C89C514FE}" presName="childText" presStyleLbl="bgAcc1" presStyleIdx="3" presStyleCnt="4">
        <dgm:presLayoutVars>
          <dgm:bulletEnabled val="1"/>
        </dgm:presLayoutVars>
      </dgm:prSet>
      <dgm:spPr/>
    </dgm:pt>
  </dgm:ptLst>
  <dgm:cxnLst>
    <dgm:cxn modelId="{2598F5A8-B699-48E9-A48D-8AF1C075BA7C}" srcId="{3E49D59A-8E54-4A8A-849C-4AA0346F7FDC}" destId="{01CCCD8E-2B43-48D0-AEB9-7804B41A02D9}" srcOrd="1" destOrd="0" parTransId="{96F20F30-D572-488A-AD4E-9E40D1019C24}" sibTransId="{D1683D33-ED2F-4D58-8938-9E80F362FFFD}"/>
    <dgm:cxn modelId="{53AE9A70-FCCD-47EA-BE42-C22E7CFB9E62}" type="presOf" srcId="{01CCCD8E-2B43-48D0-AEB9-7804B41A02D9}" destId="{502CE649-BF7C-4226-9F06-C973DEF5F108}" srcOrd="0" destOrd="0" presId="urn:microsoft.com/office/officeart/2005/8/layout/hierarchy3"/>
    <dgm:cxn modelId="{0BEF53EB-2C55-46C7-8827-9CAB845614C8}" srcId="{3DADEE15-EC86-4BAC-91BE-CB5EB7417642}" destId="{0C82BD10-F6B5-4EDF-9A05-D115B2B10B54}" srcOrd="1" destOrd="0" parTransId="{4480108A-CEEE-4E91-8994-5A9353BC44CC}" sibTransId="{A89986B6-C309-4A8A-8D04-669F541098FB}"/>
    <dgm:cxn modelId="{50999E36-F4ED-46E4-A6F6-31FA35962252}" srcId="{0C82BD10-F6B5-4EDF-9A05-D115B2B10B54}" destId="{3ACAF813-E3CF-42A4-876B-9A0C89C514FE}" srcOrd="1" destOrd="0" parTransId="{37D0A9F7-A3A3-4D2A-8D22-E8B6BA6A367E}" sibTransId="{FBDC47AC-EA89-4F72-97E4-B8EAA1275D57}"/>
    <dgm:cxn modelId="{F5C5E818-F9E3-4350-B756-DB0AEBFAEAA9}" type="presOf" srcId="{96F20F30-D572-488A-AD4E-9E40D1019C24}" destId="{C23E85C6-A833-46DF-83EF-D85E9A09E4E3}" srcOrd="0" destOrd="0" presId="urn:microsoft.com/office/officeart/2005/8/layout/hierarchy3"/>
    <dgm:cxn modelId="{ECFC55C5-2CF3-4831-BF4E-79AF5E2CCFE6}" srcId="{3DADEE15-EC86-4BAC-91BE-CB5EB7417642}" destId="{3E49D59A-8E54-4A8A-849C-4AA0346F7FDC}" srcOrd="0" destOrd="0" parTransId="{872996CF-3336-469B-9681-223662C59225}" sibTransId="{4CEAEC23-1C57-4B0B-8869-0F6C4CD8E579}"/>
    <dgm:cxn modelId="{7E02A555-D4CF-4008-A496-840037350602}" type="presOf" srcId="{0C82BD10-F6B5-4EDF-9A05-D115B2B10B54}" destId="{162FC920-21EC-4966-8F6F-27FE753D84CB}" srcOrd="0" destOrd="0" presId="urn:microsoft.com/office/officeart/2005/8/layout/hierarchy3"/>
    <dgm:cxn modelId="{13792789-82C3-4FF0-82D4-385FAFA7376D}" srcId="{3E49D59A-8E54-4A8A-849C-4AA0346F7FDC}" destId="{9ED35B10-5844-4FC2-8B3E-C8937F7FD80B}" srcOrd="0" destOrd="0" parTransId="{8B545D1E-B94D-48E7-877C-1B5ACF2D3A53}" sibTransId="{EE3422F9-BFD9-4B7C-8ADC-D50939EDD0D1}"/>
    <dgm:cxn modelId="{6C118C97-524F-48E0-AB32-429C93800781}" type="presOf" srcId="{05039F86-1B5D-4647-B7D8-C52DB48FA239}" destId="{B0550F56-AA87-47B9-8F9B-99B768F9D2B9}" srcOrd="0" destOrd="0" presId="urn:microsoft.com/office/officeart/2005/8/layout/hierarchy3"/>
    <dgm:cxn modelId="{8E131704-1034-4076-9239-630D4543198B}" type="presOf" srcId="{3ACAF813-E3CF-42A4-876B-9A0C89C514FE}" destId="{25F396E9-2697-48ED-A182-249957FEB579}" srcOrd="0" destOrd="0" presId="urn:microsoft.com/office/officeart/2005/8/layout/hierarchy3"/>
    <dgm:cxn modelId="{20EFDA76-E6A5-4FF5-AE9C-9E9A9A661892}" type="presOf" srcId="{3E49D59A-8E54-4A8A-849C-4AA0346F7FDC}" destId="{C1D95C42-4B4D-48F7-A73A-7FC7B17D88A8}" srcOrd="1" destOrd="0" presId="urn:microsoft.com/office/officeart/2005/8/layout/hierarchy3"/>
    <dgm:cxn modelId="{48E98359-5577-470D-B927-3057EC78E3AB}" srcId="{0C82BD10-F6B5-4EDF-9A05-D115B2B10B54}" destId="{05039F86-1B5D-4647-B7D8-C52DB48FA239}" srcOrd="0" destOrd="0" parTransId="{F9559ED6-F179-4154-BC81-3F6D9C10B453}" sibTransId="{2B48653B-58E5-4CA6-BEDF-36E7C8F70168}"/>
    <dgm:cxn modelId="{3BE88F1F-ED2B-4378-813D-B888CEAF8FE8}" type="presOf" srcId="{0C82BD10-F6B5-4EDF-9A05-D115B2B10B54}" destId="{C373203F-277D-42ED-A417-5FFED5724782}" srcOrd="1" destOrd="0" presId="urn:microsoft.com/office/officeart/2005/8/layout/hierarchy3"/>
    <dgm:cxn modelId="{2E4197DB-779F-4866-A3D7-66D37862F2AE}" type="presOf" srcId="{F9559ED6-F179-4154-BC81-3F6D9C10B453}" destId="{F9983FDE-4A9A-42BF-96D7-98F2C1C586E8}" srcOrd="0" destOrd="0" presId="urn:microsoft.com/office/officeart/2005/8/layout/hierarchy3"/>
    <dgm:cxn modelId="{5BADB5F9-2E0C-426C-83B9-1431D18D3AB3}" type="presOf" srcId="{3DADEE15-EC86-4BAC-91BE-CB5EB7417642}" destId="{39E4B9A2-56E7-427A-92D4-6BCDB63C7C0E}" srcOrd="0" destOrd="0" presId="urn:microsoft.com/office/officeart/2005/8/layout/hierarchy3"/>
    <dgm:cxn modelId="{1D6CF43C-2766-4AC6-84C0-3986C90266F5}" type="presOf" srcId="{3E49D59A-8E54-4A8A-849C-4AA0346F7FDC}" destId="{127E5166-3ED5-4984-8F8B-5B7597FCEF57}" srcOrd="0" destOrd="0" presId="urn:microsoft.com/office/officeart/2005/8/layout/hierarchy3"/>
    <dgm:cxn modelId="{91AA0F4C-EB17-4D05-B079-44DCECBBA05B}" type="presOf" srcId="{37D0A9F7-A3A3-4D2A-8D22-E8B6BA6A367E}" destId="{EA0290C9-1D45-4C1B-8C19-0FCD766DB3D7}" srcOrd="0" destOrd="0" presId="urn:microsoft.com/office/officeart/2005/8/layout/hierarchy3"/>
    <dgm:cxn modelId="{0F5BF131-978F-4EAB-B495-EB00CB27B9AE}" type="presOf" srcId="{8B545D1E-B94D-48E7-877C-1B5ACF2D3A53}" destId="{515D3C5F-9835-4150-BC68-87258928CCD3}" srcOrd="0" destOrd="0" presId="urn:microsoft.com/office/officeart/2005/8/layout/hierarchy3"/>
    <dgm:cxn modelId="{468CB646-A8A1-4A50-B6D5-3978ECD0DBAE}" type="presOf" srcId="{9ED35B10-5844-4FC2-8B3E-C8937F7FD80B}" destId="{561199D6-7DB4-4F1B-A5D3-460EA6B2CB6E}" srcOrd="0" destOrd="0" presId="urn:microsoft.com/office/officeart/2005/8/layout/hierarchy3"/>
    <dgm:cxn modelId="{9EA40541-20EC-4C3F-ABE6-FE184F331A9F}" type="presParOf" srcId="{39E4B9A2-56E7-427A-92D4-6BCDB63C7C0E}" destId="{36C9DCB8-263B-4589-B446-43C7C346E562}" srcOrd="0" destOrd="0" presId="urn:microsoft.com/office/officeart/2005/8/layout/hierarchy3"/>
    <dgm:cxn modelId="{94FAE689-542D-4483-B6CD-A75DA7B8B795}" type="presParOf" srcId="{36C9DCB8-263B-4589-B446-43C7C346E562}" destId="{67BDBB04-8E26-4C8B-81DC-05E752887D41}" srcOrd="0" destOrd="0" presId="urn:microsoft.com/office/officeart/2005/8/layout/hierarchy3"/>
    <dgm:cxn modelId="{82738F1F-2395-4BBA-88EA-B9FC2D7F7E9D}" type="presParOf" srcId="{67BDBB04-8E26-4C8B-81DC-05E752887D41}" destId="{127E5166-3ED5-4984-8F8B-5B7597FCEF57}" srcOrd="0" destOrd="0" presId="urn:microsoft.com/office/officeart/2005/8/layout/hierarchy3"/>
    <dgm:cxn modelId="{22ED621C-D236-419A-A634-190F14F3E606}" type="presParOf" srcId="{67BDBB04-8E26-4C8B-81DC-05E752887D41}" destId="{C1D95C42-4B4D-48F7-A73A-7FC7B17D88A8}" srcOrd="1" destOrd="0" presId="urn:microsoft.com/office/officeart/2005/8/layout/hierarchy3"/>
    <dgm:cxn modelId="{35805023-8AF1-4455-A3F2-48836023C05E}" type="presParOf" srcId="{36C9DCB8-263B-4589-B446-43C7C346E562}" destId="{D9F4665C-623E-4FB4-AE4B-5B418E2E3E50}" srcOrd="1" destOrd="0" presId="urn:microsoft.com/office/officeart/2005/8/layout/hierarchy3"/>
    <dgm:cxn modelId="{04595A82-42F5-4734-906D-B35BEA463135}" type="presParOf" srcId="{D9F4665C-623E-4FB4-AE4B-5B418E2E3E50}" destId="{515D3C5F-9835-4150-BC68-87258928CCD3}" srcOrd="0" destOrd="0" presId="urn:microsoft.com/office/officeart/2005/8/layout/hierarchy3"/>
    <dgm:cxn modelId="{FCA6B30E-338E-40BB-9A90-9F032D3BF32F}" type="presParOf" srcId="{D9F4665C-623E-4FB4-AE4B-5B418E2E3E50}" destId="{561199D6-7DB4-4F1B-A5D3-460EA6B2CB6E}" srcOrd="1" destOrd="0" presId="urn:microsoft.com/office/officeart/2005/8/layout/hierarchy3"/>
    <dgm:cxn modelId="{568EF54D-D6B7-4B0A-87F6-BE196BA1ABCE}" type="presParOf" srcId="{D9F4665C-623E-4FB4-AE4B-5B418E2E3E50}" destId="{C23E85C6-A833-46DF-83EF-D85E9A09E4E3}" srcOrd="2" destOrd="0" presId="urn:microsoft.com/office/officeart/2005/8/layout/hierarchy3"/>
    <dgm:cxn modelId="{A183D8D7-FCEE-4371-96CE-B1F438F5A1D0}" type="presParOf" srcId="{D9F4665C-623E-4FB4-AE4B-5B418E2E3E50}" destId="{502CE649-BF7C-4226-9F06-C973DEF5F108}" srcOrd="3" destOrd="0" presId="urn:microsoft.com/office/officeart/2005/8/layout/hierarchy3"/>
    <dgm:cxn modelId="{AC1375FA-4734-4F6B-9B9E-973561F42A1A}" type="presParOf" srcId="{39E4B9A2-56E7-427A-92D4-6BCDB63C7C0E}" destId="{7B418EAD-D9BE-43D1-A489-04DC414FDF43}" srcOrd="1" destOrd="0" presId="urn:microsoft.com/office/officeart/2005/8/layout/hierarchy3"/>
    <dgm:cxn modelId="{8FB6C1E4-3707-4742-A0FE-1394AEEB9F4D}" type="presParOf" srcId="{7B418EAD-D9BE-43D1-A489-04DC414FDF43}" destId="{66493AB2-9035-47E9-BE09-F26F1EF8E415}" srcOrd="0" destOrd="0" presId="urn:microsoft.com/office/officeart/2005/8/layout/hierarchy3"/>
    <dgm:cxn modelId="{1FDD3104-7963-4911-A80E-172079DE7924}" type="presParOf" srcId="{66493AB2-9035-47E9-BE09-F26F1EF8E415}" destId="{162FC920-21EC-4966-8F6F-27FE753D84CB}" srcOrd="0" destOrd="0" presId="urn:microsoft.com/office/officeart/2005/8/layout/hierarchy3"/>
    <dgm:cxn modelId="{1A49B732-C146-4911-8D97-7CC083CB69BA}" type="presParOf" srcId="{66493AB2-9035-47E9-BE09-F26F1EF8E415}" destId="{C373203F-277D-42ED-A417-5FFED5724782}" srcOrd="1" destOrd="0" presId="urn:microsoft.com/office/officeart/2005/8/layout/hierarchy3"/>
    <dgm:cxn modelId="{72ECD06F-E150-466E-8EFB-8DA63FB02EAF}" type="presParOf" srcId="{7B418EAD-D9BE-43D1-A489-04DC414FDF43}" destId="{D9FA1666-D65B-497F-91AC-7A1FCB315C1B}" srcOrd="1" destOrd="0" presId="urn:microsoft.com/office/officeart/2005/8/layout/hierarchy3"/>
    <dgm:cxn modelId="{97940570-639F-49B4-BA8C-AA9F3E3D1DCD}" type="presParOf" srcId="{D9FA1666-D65B-497F-91AC-7A1FCB315C1B}" destId="{F9983FDE-4A9A-42BF-96D7-98F2C1C586E8}" srcOrd="0" destOrd="0" presId="urn:microsoft.com/office/officeart/2005/8/layout/hierarchy3"/>
    <dgm:cxn modelId="{758A5E71-D8D5-4DAF-8F12-CB7122FA9523}" type="presParOf" srcId="{D9FA1666-D65B-497F-91AC-7A1FCB315C1B}" destId="{B0550F56-AA87-47B9-8F9B-99B768F9D2B9}" srcOrd="1" destOrd="0" presId="urn:microsoft.com/office/officeart/2005/8/layout/hierarchy3"/>
    <dgm:cxn modelId="{DDE2B5B2-E660-49D9-BB92-D9AE5C962000}" type="presParOf" srcId="{D9FA1666-D65B-497F-91AC-7A1FCB315C1B}" destId="{EA0290C9-1D45-4C1B-8C19-0FCD766DB3D7}" srcOrd="2" destOrd="0" presId="urn:microsoft.com/office/officeart/2005/8/layout/hierarchy3"/>
    <dgm:cxn modelId="{501DF0F0-F990-4F6F-A90B-52E26DD1A57F}" type="presParOf" srcId="{D9FA1666-D65B-497F-91AC-7A1FCB315C1B}" destId="{25F396E9-2697-48ED-A182-249957FEB579}" srcOrd="3" destOrd="0" presId="urn:microsoft.com/office/officeart/2005/8/layout/hierarchy3"/>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2021-03-11T11:22:00Z</dcterms:created>
  <dcterms:modified xsi:type="dcterms:W3CDTF">2021-03-11T12:53:00Z</dcterms:modified>
</cp:coreProperties>
</file>