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1: Forced Alignment using Montreal Forced Aligner (MFA)</w:t>
      </w:r>
    </w:p>
    <w:p>
      <w:pPr>
        <w:pStyle w:val="Heading2"/>
      </w:pPr>
      <w:r>
        <w:t>1. Introduction</w:t>
      </w:r>
    </w:p>
    <w:p>
      <w:r>
        <w:t>Forced alignment is the process of automatically aligning speech audio with its corresponding textual transcription at word and phoneme levels. This assignment implements an end-to-end forced alignment pipeline using the Montreal Forced Aligner (MFA) to understand how automatic alignment between speech and phonetic transcription works.</w:t>
      </w:r>
    </w:p>
    <w:p>
      <w:pPr>
        <w:pStyle w:val="Heading2"/>
      </w:pPr>
      <w:r>
        <w:t>2. Dataset Description</w:t>
      </w:r>
    </w:p>
    <w:p>
      <w:r>
        <w:t>The dataset consists of six English speech audio files, each paired with a corresponding transcript file. Each audio file contains a single utterance spoken by one speaker. The provided dataset was used exclusively for all experiments, in accordance with the assignment instructions.</w:t>
      </w:r>
    </w:p>
    <w:p>
      <w:pPr>
        <w:pStyle w:val="Heading2"/>
      </w:pPr>
      <w:r>
        <w:t>3. Methodology</w:t>
      </w:r>
    </w:p>
    <w:p>
      <w:r>
        <w:t>The MFA environment was set up using Conda and executed within the Windows Subsystem for Linux (WSL) to ensure compatibility. The corpus was organized in the MFA-required structure with paired .wav and .txt files. The pretrained english_us_arpa acoustic model and dictionary were used. Text normalization was applied to transcripts, including uppercasing, punctuation removal, and number-to-word conversion. A G2P model was then used to generate pronunciations for previously out-of-vocabulary (OOV) words.</w:t>
      </w:r>
    </w:p>
    <w:p>
      <w:pPr>
        <w:pStyle w:val="Heading2"/>
      </w:pPr>
      <w:r>
        <w:t>4. OOV Handling</w:t>
      </w:r>
    </w:p>
    <w:p>
      <w:r>
        <w:t>Initial validation revealed multiple out-of-vocabulary (OOV) words caused by numbers, punctuation, and lexical variants. After transcript normalization and pronunciation generation using the MFA G2P model, the OOV count was reduced to zero. This ensured full dictionary coverage and improved alignment reliability.</w:t>
      </w:r>
    </w:p>
    <w:p>
      <w:pPr>
        <w:pStyle w:val="Heading2"/>
      </w:pPr>
      <w:r>
        <w:t>5. Results and Analysis</w:t>
      </w:r>
    </w:p>
    <w:p>
      <w:r>
        <w:t>Forced alignment was successfully performed, generating TextGrid files containing word-level and phoneme-level annotations. The alignments were inspected using Praat to visually assess boundary accuracy. Word boundaries generally aligned well with regions of high acoustic energy, while phoneme boundaries captured fine-grained spectral transitions. Minor timing offsets were observed, which are expected in automatic forced alignment systems.</w:t>
      </w:r>
    </w:p>
    <w:p>
      <w:pPr>
        <w:pStyle w:val="Heading2"/>
      </w:pPr>
      <w:r>
        <w:t>6. Observations and Limitations</w:t>
      </w:r>
    </w:p>
    <w:p>
      <w:r>
        <w:t>The alignment quality was overall satisfactory. Some minor boundary imprecision was noted, particularly for unstressed phonemes and rapid speech segments. These limitations are inherent to automatic alignment systems and do not significantly affect the usability of the results.</w:t>
      </w:r>
    </w:p>
    <w:p>
      <w:pPr>
        <w:pStyle w:val="Heading2"/>
      </w:pPr>
      <w:r>
        <w:t>7. Conclusion</w:t>
      </w:r>
    </w:p>
    <w:p>
      <w:r>
        <w:t>This assignment successfully demonstrated a complete forced alignment pipeline using MFA. Through proper data preparation, text normalization, and OOV handling, accurate word- and phoneme-level alignments were achieved. The experiment highlights the effectiveness of MFA for automatic speech-text alignment tasks.</w:t>
      </w:r>
    </w:p>
    <w:p>
      <w:pPr>
        <w:pStyle w:val="Heading2"/>
      </w:pPr>
      <w:r>
        <w:t>Appendix: Alignment Visualization</w:t>
      </w:r>
    </w:p>
    <w:p>
      <w:r>
        <w:t>The following screenshots show word-level and phoneme-level alignments visualized in Praat.</w:t>
      </w:r>
    </w:p>
    <w:p>
      <w:r>
        <w:drawing>
          <wp:inline xmlns:a="http://schemas.openxmlformats.org/drawingml/2006/main" xmlns:pic="http://schemas.openxmlformats.org/drawingml/2006/picture">
            <wp:extent cx="5486400" cy="2956417"/>
            <wp:docPr id="1" name="Picture 1"/>
            <wp:cNvGraphicFramePr>
              <a:graphicFrameLocks noChangeAspect="1"/>
            </wp:cNvGraphicFramePr>
            <a:graphic>
              <a:graphicData uri="http://schemas.openxmlformats.org/drawingml/2006/picture">
                <pic:pic>
                  <pic:nvPicPr>
                    <pic:cNvPr id="0" name="Screenshot 2026-02-08 031615.png"/>
                    <pic:cNvPicPr/>
                  </pic:nvPicPr>
                  <pic:blipFill>
                    <a:blip r:embed="rId9"/>
                    <a:stretch>
                      <a:fillRect/>
                    </a:stretch>
                  </pic:blipFill>
                  <pic:spPr>
                    <a:xfrm>
                      <a:off x="0" y="0"/>
                      <a:ext cx="5486400" cy="2956417"/>
                    </a:xfrm>
                    <a:prstGeom prst="rect"/>
                  </pic:spPr>
                </pic:pic>
              </a:graphicData>
            </a:graphic>
          </wp:inline>
        </w:drawing>
      </w:r>
    </w:p>
    <w:p>
      <w:r>
        <w:drawing>
          <wp:inline xmlns:a="http://schemas.openxmlformats.org/drawingml/2006/main" xmlns:pic="http://schemas.openxmlformats.org/drawingml/2006/picture">
            <wp:extent cx="5486400" cy="2960370"/>
            <wp:docPr id="2" name="Picture 2"/>
            <wp:cNvGraphicFramePr>
              <a:graphicFrameLocks noChangeAspect="1"/>
            </wp:cNvGraphicFramePr>
            <a:graphic>
              <a:graphicData uri="http://schemas.openxmlformats.org/drawingml/2006/picture">
                <pic:pic>
                  <pic:nvPicPr>
                    <pic:cNvPr id="0" name="Screenshot 2026-02-08 031726.png"/>
                    <pic:cNvPicPr/>
                  </pic:nvPicPr>
                  <pic:blipFill>
                    <a:blip r:embed="rId10"/>
                    <a:stretch>
                      <a:fillRect/>
                    </a:stretch>
                  </pic:blipFill>
                  <pic:spPr>
                    <a:xfrm>
                      <a:off x="0" y="0"/>
                      <a:ext cx="5486400" cy="296037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