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Multi-Currency preference selection and dynamic formatting across ledgers.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Automated Monthly Financial Reports dispatch via Email (Nodemailer).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Reach Checkpoint 1 milestone tag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