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F3A5F"/>
          <w:sz w:val="28"/>
        </w:rPr>
        <w:t>ARBOR PEAK WEALTH PARTNERS</w:t>
      </w:r>
    </w:p>
    <w:p>
      <w:pPr>
        <w:spacing w:before="0" w:after="240"/>
      </w:pPr>
      <w:r>
        <w:rPr>
          <w:b/>
          <w:i w:val="0"/>
          <w:color w:val="1F3A5F"/>
        </w:rPr>
        <w:t>INVESTMENT COMMITTEE MEMORANDUM</w:t>
      </w:r>
    </w:p>
    <w:p>
      <w:pPr>
        <w:spacing w:after="0"/>
      </w:pPr>
      <w:r>
        <w:rPr>
          <w:b/>
        </w:rPr>
        <w:t>To:</w:t>
      </w:r>
      <w:r>
        <w:t xml:space="preserve"> Investment Committee</w:t>
      </w:r>
    </w:p>
    <w:p>
      <w:pPr>
        <w:spacing w:after="0"/>
      </w:pPr>
      <w:r>
        <w:rPr>
          <w:b/>
        </w:rPr>
        <w:t>From:</w:t>
      </w:r>
      <w:r>
        <w:t xml:space="preserve"> Rebecca Thornton, Natalie Brooks</w:t>
      </w:r>
    </w:p>
    <w:p>
      <w:pPr>
        <w:spacing w:after="0"/>
      </w:pPr>
      <w:r>
        <w:rPr>
          <w:b/>
        </w:rPr>
        <w:t>Date:</w:t>
      </w:r>
      <w:r>
        <w:t xml:space="preserve"> 2026-05-07</w:t>
      </w:r>
    </w:p>
    <w:p>
      <w:pPr>
        <w:spacing w:after="0"/>
      </w:pPr>
      <w:r>
        <w:rPr>
          <w:b/>
        </w:rPr>
        <w:t>Subject:</w:t>
      </w:r>
      <w:r>
        <w:t xml:space="preserve"> Proposal: Increase Energy Infrastructure Allocation on Data Center Power Demand</w:t>
      </w:r>
    </w:p>
    <w:p>
      <w:pPr>
        <w:spacing w:after="0"/>
      </w:pPr>
      <w:r>
        <w:rPr>
          <w:b/>
        </w:rPr>
        <w:t>Decision Reference:</w:t>
      </w:r>
      <w:r>
        <w:t xml:space="preserve"> IC-2026-008</w:t>
      </w:r>
    </w:p>
    <w:p>
      <w:pPr>
        <w:spacing w:after="280"/>
      </w:pPr>
      <w:r>
        <w:rPr>
          <w:b/>
        </w:rPr>
        <w:t>For Meeting:</w:t>
      </w:r>
      <w:r>
        <w:t xml:space="preserve"> Investment Committee Meeting, 2026-05-14</w:t>
      </w:r>
    </w:p>
    <w:p>
      <w:pPr>
        <w:spacing w:before="160" w:after="120"/>
      </w:pPr>
      <w:r>
        <w:rPr>
          <w:b/>
          <w:i w:val="0"/>
        </w:rPr>
        <w:t>Recommendation:</w:t>
      </w:r>
    </w:p>
    <w:p>
      <w:pPr>
        <w:spacing w:before="0" w:after="120"/>
      </w:pPr>
      <w:r>
        <w:rPr>
          <w:b w:val="0"/>
          <w:i w:val="0"/>
        </w:rPr>
        <w:t>We recommend raising the Arbor Peak Energy Infrastructure Fund model weight from 5% to 7% in Growth models and Balanced models, funded from fixed income (proposed decision IC-2026-008). The 5% weight dates from IC-2025-014 last June, when the case rested mainly on fee-based cash flows and LNG exports. Power generation was a secondary driver then. It is now central, because power demand from AI data centers is driving a wave of new gas-fired generation.</w:t>
      </w:r>
    </w:p>
    <w:p>
      <w:pPr>
        <w:spacing w:before="160" w:after="120"/>
      </w:pPr>
      <w:r>
        <w:rPr>
          <w:b/>
          <w:i w:val="0"/>
        </w:rPr>
        <w:t>Background:</w:t>
      </w:r>
    </w:p>
    <w:p>
      <w:pPr>
        <w:spacing w:before="0" w:after="120"/>
      </w:pPr>
      <w:r>
        <w:rPr>
          <w:b w:val="0"/>
          <w:i w:val="0"/>
        </w:rPr>
        <w:t>Natalie Brooks's January 8 report, Powering AI: Data Center Electricity Demand and the Grid, concluded that AI data centers are the fastest-growing source of US load growth. At our January 22 meeting, Dr. Leah Goldberg of Pemberton Grid Consulting described interconnection queues in Texas and the Mid-Atlantic that stretch three to five years, which pushes developers to pair grid supply with on-site gas-fired generation and long-term power purchase agreements. Wade Pruitt's April 23 report, Natural Gas Midstream: The Data Center Power Trade, traced the effect through to pipeline volumes and recommended overweighting midstream within the fund.</w:t>
      </w:r>
    </w:p>
    <w:p>
      <w:pPr>
        <w:spacing w:before="160" w:after="120"/>
      </w:pPr>
      <w:r>
        <w:rPr>
          <w:b/>
          <w:i w:val="0"/>
        </w:rPr>
        <w:t>Investment Thesis:</w:t>
      </w:r>
    </w:p>
    <w:p>
      <w:pPr>
        <w:spacing w:before="0" w:after="120"/>
      </w:pPr>
      <w:r>
        <w:rPr>
          <w:b w:val="0"/>
          <w:i w:val="0"/>
        </w:rPr>
        <w:t>- Gas is the marginal fuel for new load: In our assessment, most new firm generation planned to serve AI data centers is gas-fired, whether connected to the grid or built on site. Every new plant needs firm transportation on natural gas pipelines.</w:t>
      </w:r>
    </w:p>
    <w:p>
      <w:pPr>
        <w:spacing w:before="0" w:after="120"/>
      </w:pPr>
      <w:r>
        <w:rPr>
          <w:b w:val="0"/>
          <w:i w:val="0"/>
        </w:rPr>
        <w:t>- Pipeline operators capture contracted growth: Williams Companies, Kinder Morgan and Energy Transfer are well placed to serve these load centers, and we expect them to underwrite expansions with long-term fee-based contracts. That converts power demand into contracted volume growth with limited commodity exposure.</w:t>
      </w:r>
    </w:p>
    <w:p>
      <w:pPr>
        <w:spacing w:before="0" w:after="120"/>
      </w:pPr>
      <w:r>
        <w:rPr>
          <w:b w:val="0"/>
          <w:i w:val="0"/>
        </w:rPr>
        <w:t>- Power producers benefit from tighter markets: Constellation Energy and Vistra, already held in the fund, should benefit from higher capacity prices and from long-term supply contracts with large-load customers.</w:t>
      </w:r>
    </w:p>
    <w:p>
      <w:pPr>
        <w:spacing w:before="0" w:after="120"/>
      </w:pPr>
      <w:r>
        <w:rPr>
          <w:b w:val="0"/>
          <w:i w:val="0"/>
        </w:rPr>
        <w:t>- Visibility: Fee-based pipeline revenue combined with contracted power sales gives the fund better earnings visibility than the broader energy sector, in our view.</w:t>
      </w:r>
    </w:p>
    <w:p>
      <w:pPr>
        <w:spacing w:before="160" w:after="120"/>
      </w:pPr>
      <w:r>
        <w:rPr>
          <w:b/>
          <w:i w:val="0"/>
        </w:rPr>
        <w:t>Risks and Mitigants:</w:t>
      </w:r>
    </w:p>
    <w:p>
      <w:pPr>
        <w:spacing w:before="0" w:after="120"/>
      </w:pPr>
      <w:r>
        <w:rPr>
          <w:b w:val="0"/>
          <w:i w:val="0"/>
        </w:rPr>
        <w:t>- Rate sensitivity: Midstream and power equities trade partly as income assets, and our own fixed income view (IC-2026-005) assumes fewer rate cuts than the market had priced. Mitigant: contracted cash flow growth should offset some valuation pressure, and a 2-point increase is moderate.</w:t>
      </w:r>
    </w:p>
    <w:p>
      <w:pPr>
        <w:spacing w:before="0" w:after="120"/>
      </w:pPr>
      <w:r>
        <w:rPr>
          <w:b w:val="0"/>
          <w:i w:val="0"/>
        </w:rPr>
        <w:t>- Project delays: Permitting, turbine lead times and interconnection timelines can push out volume growth. Mitigant: the thesis does not depend on any single project, and in-service assets generate the base income.</w:t>
      </w:r>
    </w:p>
    <w:p>
      <w:pPr>
        <w:spacing w:before="0" w:after="120"/>
      </w:pPr>
      <w:r>
        <w:rPr>
          <w:b w:val="0"/>
          <w:i w:val="0"/>
        </w:rPr>
        <w:t>- Policy: Changes to permitting, power market rules or large-load tariffs could alter project economics. Mitigant: diversification across pipelines, power producers and equipment suppliers.</w:t>
      </w:r>
    </w:p>
    <w:p>
      <w:pPr>
        <w:spacing w:before="0" w:after="120"/>
      </w:pPr>
      <w:r>
        <w:rPr>
          <w:b w:val="0"/>
          <w:i w:val="0"/>
        </w:rPr>
        <w:t>- Overlap: Constellation Energy is also held in the AI Infrastructure Fund and the Clean Energy Transition Fund. The overlap is small, and we will flag it for the risk team's mid-year look-through review.</w:t>
      </w:r>
    </w:p>
    <w:p>
      <w:pPr>
        <w:spacing w:before="0" w:after="120"/>
      </w:pPr>
      <w:r>
        <w:rPr>
          <w:b w:val="0"/>
          <w:i w:val="0"/>
        </w:rPr>
        <w:t>- Exclusions: The Bellamy Foundation is exempt because of its fossil-fuel exclusion and keeps its energy allocation in the Clean Energy Transition Fund.</w:t>
      </w:r>
    </w:p>
    <w:p>
      <w:pPr>
        <w:spacing w:before="160" w:after="120"/>
      </w:pPr>
      <w:r>
        <w:rPr>
          <w:b/>
          <w:i w:val="0"/>
        </w:rPr>
        <w:t>Implementation:</w:t>
      </w:r>
    </w:p>
    <w:p>
      <w:pPr>
        <w:spacing w:before="0" w:after="120"/>
      </w:pPr>
      <w:r>
        <w:rPr>
          <w:b w:val="0"/>
          <w:i w:val="0"/>
        </w:rPr>
        <w:t>- Rebalancing over June 1-12, covering about 31 accounts and roughly $6.5 million of purchases.</w:t>
      </w:r>
    </w:p>
    <w:p>
      <w:pPr>
        <w:spacing w:before="0" w:after="120"/>
      </w:pPr>
      <w:r>
        <w:rPr>
          <w:b w:val="0"/>
          <w:i w:val="0"/>
        </w:rPr>
        <w:t>- Funding from the Municipal Income Fund in taxable accounts and the Core Fixed Income Fund otherwise.</w:t>
      </w:r>
    </w:p>
    <w:p>
      <w:pPr>
        <w:spacing w:before="0" w:after="120"/>
      </w:pPr>
      <w:r>
        <w:rPr>
          <w:b w:val="0"/>
          <w:i w:val="0"/>
        </w:rPr>
        <w:t>- Advisors to confirm any other client restrictions before trades; talking points on data center power demand to follow approval.</w:t>
      </w:r>
    </w:p>
    <w:p>
      <w:pPr>
        <w:spacing w:before="200" w:after="40"/>
      </w:pPr>
      <w:r>
        <w:rPr>
          <w:b/>
          <w:i w:val="0"/>
        </w:rPr>
        <w:t>Supporting Documents:</w:t>
      </w:r>
    </w:p>
    <w:p>
      <w:pPr>
        <w:spacing w:before="0" w:after="40"/>
      </w:pPr>
      <w:r>
        <w:rPr>
          <w:b w:val="0"/>
          <w:i/>
        </w:rPr>
        <w:t>Powering AI: Data Center Electricity Demand and the Grid</w:t>
      </w:r>
    </w:p>
    <w:p>
      <w:pPr>
        <w:spacing w:before="0" w:after="40"/>
      </w:pPr>
      <w:r>
        <w:rPr>
          <w:b w:val="0"/>
          <w:i/>
        </w:rPr>
        <w:t>Natural Gas Midstream: The Data Center Power Trade</w:t>
      </w:r>
    </w:p>
    <w:p>
      <w:pPr>
        <w:spacing w:before="360" w:after="120"/>
      </w:pPr>
      <w:r>
        <w:rPr>
          <w:b w:val="0"/>
          <w:i/>
          <w:color w:val="595959"/>
          <w:sz w:val="16"/>
        </w:rPr>
        <w:t>Synthetic demo document - fictional firm, clients and people. Not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Proposal: Increase Energy Infrastructure Allocation on Data Center Power Demand</dc:title>
  <dc:subject>IC-2026-008</dc:subject>
  <dc:creator>Rebecca Thornton, Natalie Brooks</dc:creator>
  <cp:keywords/>
  <dc:description/>
  <cp:lastModifiedBy>Rebecca Thornton, Natalie Brooks</cp:lastModifiedBy>
  <cp:revision>1</cp:revision>
  <dcterms:created xsi:type="dcterms:W3CDTF">2026-05-07T08:08:00Z</dcterms:created>
  <dcterms:modified xsi:type="dcterms:W3CDTF">2026-05-07T08:45:00Z</dcterms:modified>
  <cp:category/>
</cp:coreProperties>
</file>