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DF04" w14:textId="77777777" w:rsidR="00831952" w:rsidRPr="00831952" w:rsidRDefault="00831952" w:rsidP="00831952">
      <w:pPr>
        <w:jc w:val="center"/>
        <w:rPr>
          <w:rFonts w:ascii="Times New Roman" w:hAnsi="Times New Roman" w:cs="Times New Roman"/>
          <w:b/>
          <w:bCs/>
          <w:sz w:val="28"/>
          <w:szCs w:val="28"/>
        </w:rPr>
      </w:pPr>
      <w:r w:rsidRPr="00831952">
        <w:rPr>
          <w:rFonts w:ascii="Times New Roman" w:hAnsi="Times New Roman" w:cs="Times New Roman"/>
          <w:b/>
          <w:bCs/>
          <w:sz w:val="28"/>
          <w:szCs w:val="28"/>
        </w:rPr>
        <w:t>ELECTRIC VEHICLE DATA ANALYSIS</w:t>
      </w:r>
    </w:p>
    <w:p w14:paraId="58388B9B" w14:textId="6FD5CAD5" w:rsidR="00831952" w:rsidRPr="00831952" w:rsidRDefault="00831952" w:rsidP="00831952">
      <w:pPr>
        <w:rPr>
          <w:rFonts w:ascii="Times New Roman" w:hAnsi="Times New Roman" w:cs="Times New Roman"/>
        </w:rPr>
      </w:pPr>
    </w:p>
    <w:p w14:paraId="0C50AF8D" w14:textId="5D4DCF06"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Introduction</w:t>
      </w:r>
    </w:p>
    <w:p w14:paraId="0E6B5977"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The global transition toward sustainable transportation has accelerated significantly over the past decade, with electric vehicles (EVs) emerging as a key solution to reduce carbon emissions and fossil fuel dependency. Governments across the world are introducing incentives, infrastructure support, and regulatory mandates to encourage EV adoption. As a result, understanding the growth patterns, technological advancements, and market dynamics of electric vehicles has become increasingly important for policymakers, manufacturers, and investors.</w:t>
      </w:r>
    </w:p>
    <w:p w14:paraId="4753E845"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This project focuses on analyzing electric vehicle data to evaluate adoption trends, technological progress, and market distribution across the United States. The analysis includes both Battery Electric Vehicles (BEVs) and Plug-in Hybrid Electric Vehicles (PHEVs). Through interactive data visualization techniques, this project provides meaningful insights into vehicle growth over time, geographical distribution, manufacturer dominance, and clean energy eligibility trends.</w:t>
      </w:r>
    </w:p>
    <w:p w14:paraId="79028830"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The primary objective of this dashboard-driven analysis is to transform raw EV registration data into actionable insights that help understand the current EV ecosystem and its future direction.</w:t>
      </w:r>
    </w:p>
    <w:p w14:paraId="712F9391" w14:textId="478BB90C" w:rsidR="00831952" w:rsidRPr="00831952" w:rsidRDefault="00831952" w:rsidP="00831952">
      <w:pPr>
        <w:rPr>
          <w:rFonts w:ascii="Times New Roman" w:hAnsi="Times New Roman" w:cs="Times New Roman"/>
        </w:rPr>
      </w:pPr>
    </w:p>
    <w:p w14:paraId="493D24E0" w14:textId="580F2AE4"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Problem Statement</w:t>
      </w:r>
    </w:p>
    <w:p w14:paraId="1398CC78" w14:textId="77777777" w:rsidR="00D31C56" w:rsidRPr="00D31C56" w:rsidRDefault="00D31C56" w:rsidP="00D31C56">
      <w:pPr>
        <w:rPr>
          <w:rFonts w:ascii="Times New Roman" w:hAnsi="Times New Roman" w:cs="Times New Roman"/>
        </w:rPr>
      </w:pPr>
      <w:r w:rsidRPr="00D31C56">
        <w:rPr>
          <w:rFonts w:ascii="Times New Roman" w:hAnsi="Times New Roman" w:cs="Times New Roman"/>
        </w:rPr>
        <w:t>The rapid growth of electric vehicle adoption has transformed the automotive industry, yet stakeholders lack a clear, structured, and data-driven understanding of the evolving EV market landscape. While electric mobility is expanding due to technological advancements, environmental concerns, and government incentives, there remains a need to systematically analyze market size, growth patterns, technological progress, and regional distribution. Without comprehensive analysis, it becomes difficult to evaluate adoption trends, assess the dominance of Battery Electric Vehicles (BEVs) versus Plug-in Hybrid Electric Vehicles (PHEVs), or understand the role of policy-driven incentives such as Clean Alternative Fuel Vehicle (CAFV) eligibility.</w:t>
      </w:r>
    </w:p>
    <w:p w14:paraId="67E8C898" w14:textId="77777777" w:rsidR="00D31C56" w:rsidRPr="00D31C56" w:rsidRDefault="00D31C56" w:rsidP="00D31C56">
      <w:pPr>
        <w:rPr>
          <w:rFonts w:ascii="Times New Roman" w:hAnsi="Times New Roman" w:cs="Times New Roman"/>
        </w:rPr>
      </w:pPr>
      <w:r w:rsidRPr="00D31C56">
        <w:rPr>
          <w:rFonts w:ascii="Times New Roman" w:hAnsi="Times New Roman" w:cs="Times New Roman"/>
        </w:rPr>
        <w:t>Additionally, variations in electric range, manufacturer performance, model popularity, and state-level adoption create complexity in interpreting market dynamics. Policymakers, manufacturers, and investors require clear insights into these factors to make informed strategic decisions. Therefore, this project aims to develop a data-driven analytical dashboard that measures key performance indicators, visualizes adoption trends from 2010 onwards, and provides meaningful insights into technological advancement, geographic concentration, and market leadership within the electric vehicle ecosystem.</w:t>
      </w:r>
    </w:p>
    <w:p w14:paraId="2535041D" w14:textId="77777777" w:rsidR="00D31C56" w:rsidRDefault="00D31C56" w:rsidP="00831952">
      <w:pPr>
        <w:rPr>
          <w:rFonts w:ascii="Times New Roman" w:hAnsi="Times New Roman" w:cs="Times New Roman"/>
        </w:rPr>
      </w:pPr>
    </w:p>
    <w:p w14:paraId="265877D8" w14:textId="2582C7BA" w:rsidR="00831952" w:rsidRPr="00831952" w:rsidRDefault="00831952" w:rsidP="00831952">
      <w:pPr>
        <w:rPr>
          <w:rFonts w:ascii="Times New Roman" w:hAnsi="Times New Roman" w:cs="Times New Roman"/>
          <w:b/>
          <w:bCs/>
        </w:rPr>
      </w:pPr>
      <w:r w:rsidRPr="00831952">
        <w:rPr>
          <w:rFonts w:ascii="Times New Roman" w:hAnsi="Times New Roman" w:cs="Times New Roman"/>
          <w:b/>
          <w:bCs/>
        </w:rPr>
        <w:lastRenderedPageBreak/>
        <w:t>Objectives of the Study</w:t>
      </w:r>
    </w:p>
    <w:p w14:paraId="2AFA6992"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The key objectives of this project are:</w:t>
      </w:r>
    </w:p>
    <w:p w14:paraId="63B0C02E"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determine the total number of electric vehicles in the dataset.</w:t>
      </w:r>
    </w:p>
    <w:p w14:paraId="0EC9A31E"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calculate the average electric range and assess technological advancements.</w:t>
      </w:r>
    </w:p>
    <w:p w14:paraId="688379C8"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analyze the total number and percentage share of BEVs and PHEVs.</w:t>
      </w:r>
    </w:p>
    <w:p w14:paraId="16E3DD3A"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study EV growth trends from 2010 onwards.</w:t>
      </w:r>
    </w:p>
    <w:p w14:paraId="3EAABF4E"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evaluate state-wise EV distribution across the United States.</w:t>
      </w:r>
    </w:p>
    <w:p w14:paraId="3779E6E2"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identify the top manufacturers and most popular EV models.</w:t>
      </w:r>
    </w:p>
    <w:p w14:paraId="5A9B33E2" w14:textId="77777777" w:rsidR="00831952" w:rsidRPr="00831952" w:rsidRDefault="00831952" w:rsidP="00831952">
      <w:pPr>
        <w:numPr>
          <w:ilvl w:val="0"/>
          <w:numId w:val="2"/>
        </w:numPr>
        <w:rPr>
          <w:rFonts w:ascii="Times New Roman" w:hAnsi="Times New Roman" w:cs="Times New Roman"/>
        </w:rPr>
      </w:pPr>
      <w:r w:rsidRPr="00831952">
        <w:rPr>
          <w:rFonts w:ascii="Times New Roman" w:hAnsi="Times New Roman" w:cs="Times New Roman"/>
        </w:rPr>
        <w:t>To analyze the impact of CAFV eligibility on vehicle adoption.</w:t>
      </w:r>
    </w:p>
    <w:p w14:paraId="0F223F65" w14:textId="55BBB985" w:rsidR="00831952" w:rsidRPr="00831952" w:rsidRDefault="00831952" w:rsidP="00831952">
      <w:pPr>
        <w:rPr>
          <w:rFonts w:ascii="Times New Roman" w:hAnsi="Times New Roman" w:cs="Times New Roman"/>
        </w:rPr>
      </w:pPr>
    </w:p>
    <w:p w14:paraId="2FE6B473" w14:textId="55FC5248"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Dataset Description</w:t>
      </w:r>
    </w:p>
    <w:p w14:paraId="2FCD0771" w14:textId="77777777" w:rsidR="00D31C56" w:rsidRPr="00D31C56" w:rsidRDefault="00D31C56" w:rsidP="00D31C56">
      <w:pPr>
        <w:rPr>
          <w:rFonts w:ascii="Times New Roman" w:hAnsi="Times New Roman" w:cs="Times New Roman"/>
        </w:rPr>
      </w:pPr>
      <w:r w:rsidRPr="00D31C56">
        <w:rPr>
          <w:rFonts w:ascii="Times New Roman" w:hAnsi="Times New Roman" w:cs="Times New Roman"/>
        </w:rPr>
        <w:t>The dataset used in this project comprises electric vehicle registration records that provide detailed information about various types of electric vehicles operating across different states. It includes key attributes such as Model Year, which indicates the production year of the vehicle; Make and Model, which identify the manufacturer and specific vehicle variant; Electric Vehicle Type, categorizing vehicles as either Battery Electric Vehicles (BEVs) or Plug-in Hybrid Electric Vehicles (PHEVs); Electric Range, representing the distance a vehicle can travel on electric power; State, identifying the geographic location of vehicle registration; and Clean Alternative Fuel Vehicle (CAFV) Eligibility, which indicates whether a vehicle qualifies for clean energy incentives.</w:t>
      </w:r>
    </w:p>
    <w:p w14:paraId="67A33F95" w14:textId="77777777" w:rsidR="00D31C56" w:rsidRPr="00D31C56" w:rsidRDefault="00D31C56" w:rsidP="00D31C56">
      <w:pPr>
        <w:rPr>
          <w:rFonts w:ascii="Times New Roman" w:hAnsi="Times New Roman" w:cs="Times New Roman"/>
        </w:rPr>
      </w:pPr>
      <w:r w:rsidRPr="00D31C56">
        <w:rPr>
          <w:rFonts w:ascii="Times New Roman" w:hAnsi="Times New Roman" w:cs="Times New Roman"/>
        </w:rPr>
        <w:t xml:space="preserve">These variables collectively enable a comprehensive analysis of electric vehicle adoption patterns, technological advancements in battery range, manufacturer dominance, model popularity, and the influence of government incentives on market growth. The dataset supports both temporal </w:t>
      </w:r>
      <w:proofErr w:type="gramStart"/>
      <w:r w:rsidRPr="00D31C56">
        <w:rPr>
          <w:rFonts w:ascii="Times New Roman" w:hAnsi="Times New Roman" w:cs="Times New Roman"/>
        </w:rPr>
        <w:t>analysis</w:t>
      </w:r>
      <w:proofErr w:type="gramEnd"/>
      <w:r w:rsidRPr="00D31C56">
        <w:rPr>
          <w:rFonts w:ascii="Times New Roman" w:hAnsi="Times New Roman" w:cs="Times New Roman"/>
        </w:rPr>
        <w:t>, through model year trends, and spatial analysis, through state-level distribution.</w:t>
      </w:r>
    </w:p>
    <w:p w14:paraId="7CCB268B" w14:textId="77777777" w:rsidR="00D31C56" w:rsidRPr="00D31C56" w:rsidRDefault="00D31C56" w:rsidP="00D31C56">
      <w:pPr>
        <w:rPr>
          <w:rFonts w:ascii="Times New Roman" w:hAnsi="Times New Roman" w:cs="Times New Roman"/>
        </w:rPr>
      </w:pPr>
      <w:r w:rsidRPr="00D31C56">
        <w:rPr>
          <w:rFonts w:ascii="Times New Roman" w:hAnsi="Times New Roman" w:cs="Times New Roman"/>
        </w:rPr>
        <w:t>To ensure accuracy and consistency in the analysis, several data cleaning and preprocessing steps were performed. The dataset was filtered to include model years from 2010 onwards to focus on modern EV adoption trends. Missing, null, or inconsistent electric range values were removed to maintain analytical reliability. Vehicle type classifications were standardized to clearly distinguish between BEVs and PHEVs. Finally, aggregation techniques were applied to calculate counts and percentages at the manufacturer, model, and state levels, enabling meaningful visualization and KPI development within the dashboard.</w:t>
      </w:r>
    </w:p>
    <w:p w14:paraId="48DA8D10" w14:textId="4BED7A5C" w:rsidR="00831952" w:rsidRPr="00831952" w:rsidRDefault="00831952" w:rsidP="00831952">
      <w:pPr>
        <w:rPr>
          <w:rFonts w:ascii="Times New Roman" w:hAnsi="Times New Roman" w:cs="Times New Roman"/>
        </w:rPr>
      </w:pPr>
    </w:p>
    <w:p w14:paraId="03628565" w14:textId="0D1C4B31" w:rsidR="00831952" w:rsidRPr="00831952" w:rsidRDefault="00831952" w:rsidP="00831952">
      <w:pPr>
        <w:rPr>
          <w:rFonts w:ascii="Times New Roman" w:hAnsi="Times New Roman" w:cs="Times New Roman"/>
          <w:b/>
          <w:bCs/>
        </w:rPr>
      </w:pPr>
      <w:r w:rsidRPr="00831952">
        <w:rPr>
          <w:rFonts w:ascii="Times New Roman" w:hAnsi="Times New Roman" w:cs="Times New Roman"/>
          <w:b/>
          <w:bCs/>
        </w:rPr>
        <w:lastRenderedPageBreak/>
        <w:t>Key Performance Indicators (KPIs)</w:t>
      </w:r>
    </w:p>
    <w:p w14:paraId="608BEF70" w14:textId="77777777" w:rsidR="00CC6C94" w:rsidRPr="00CC6C94" w:rsidRDefault="00CC6C94" w:rsidP="00CC6C94">
      <w:pPr>
        <w:rPr>
          <w:rFonts w:ascii="Times New Roman" w:hAnsi="Times New Roman" w:cs="Times New Roman"/>
        </w:rPr>
      </w:pPr>
      <w:r w:rsidRPr="00CC6C94">
        <w:rPr>
          <w:rFonts w:ascii="Times New Roman" w:hAnsi="Times New Roman" w:cs="Times New Roman"/>
        </w:rPr>
        <w:t>To effectively analyze electric vehicle adoption and market trends, several Key Performance Indicators (KPIs) were developed as part of the dashboard. These KPIs provide measurable insights into the scale of adoption, technological progress, and the distribution of different types of electric vehicles in the market.</w:t>
      </w:r>
    </w:p>
    <w:p w14:paraId="736D7B38" w14:textId="77777777" w:rsidR="00CC6C94" w:rsidRPr="00CC6C94" w:rsidRDefault="00CC6C94" w:rsidP="00CC6C94">
      <w:pPr>
        <w:rPr>
          <w:rFonts w:ascii="Times New Roman" w:hAnsi="Times New Roman" w:cs="Times New Roman"/>
        </w:rPr>
      </w:pPr>
      <w:r w:rsidRPr="00CC6C94">
        <w:rPr>
          <w:rFonts w:ascii="Times New Roman" w:hAnsi="Times New Roman" w:cs="Times New Roman"/>
        </w:rPr>
        <w:t xml:space="preserve">The first KPI measures the </w:t>
      </w:r>
      <w:r w:rsidRPr="00CC6C94">
        <w:rPr>
          <w:rFonts w:ascii="Times New Roman" w:hAnsi="Times New Roman" w:cs="Times New Roman"/>
          <w:b/>
          <w:bCs/>
        </w:rPr>
        <w:t>total number of electric vehicles</w:t>
      </w:r>
      <w:r w:rsidRPr="00CC6C94">
        <w:rPr>
          <w:rFonts w:ascii="Times New Roman" w:hAnsi="Times New Roman" w:cs="Times New Roman"/>
        </w:rPr>
        <w:t>, which includes both Battery Electric Vehicles (BEVs) and Plug-in Hybrid Electric Vehicles (PHEVs). This indicator helps determine the overall size of the EV market and provides a clear understanding of the level of adoption within the dataset. By evaluating the total number of electric vehicles, stakeholders can observe the overall growth of electric mobility.</w:t>
      </w:r>
    </w:p>
    <w:p w14:paraId="4A1D03E3" w14:textId="77777777" w:rsidR="00CC6C94" w:rsidRPr="00CC6C94" w:rsidRDefault="00CC6C94" w:rsidP="00CC6C94">
      <w:pPr>
        <w:rPr>
          <w:rFonts w:ascii="Times New Roman" w:hAnsi="Times New Roman" w:cs="Times New Roman"/>
        </w:rPr>
      </w:pPr>
      <w:r w:rsidRPr="00CC6C94">
        <w:rPr>
          <w:rFonts w:ascii="Times New Roman" w:hAnsi="Times New Roman" w:cs="Times New Roman"/>
        </w:rPr>
        <w:t xml:space="preserve">Another important KPI is the </w:t>
      </w:r>
      <w:r w:rsidRPr="00CC6C94">
        <w:rPr>
          <w:rFonts w:ascii="Times New Roman" w:hAnsi="Times New Roman" w:cs="Times New Roman"/>
          <w:b/>
          <w:bCs/>
        </w:rPr>
        <w:t>average electric range</w:t>
      </w:r>
      <w:r w:rsidRPr="00CC6C94">
        <w:rPr>
          <w:rFonts w:ascii="Times New Roman" w:hAnsi="Times New Roman" w:cs="Times New Roman"/>
        </w:rPr>
        <w:t>, which calculates the mean driving distance that electric vehicles can travel using electric power. This metric helps assess technological advancements in battery efficiency and vehicle performance. Improvements in electric range over time indicate progress in EV technology and increased practicality for consumers.</w:t>
      </w:r>
    </w:p>
    <w:p w14:paraId="562AEEB6" w14:textId="77777777" w:rsidR="00CC6C94" w:rsidRPr="00CC6C94" w:rsidRDefault="00CC6C94" w:rsidP="00CC6C94">
      <w:pPr>
        <w:rPr>
          <w:rFonts w:ascii="Times New Roman" w:hAnsi="Times New Roman" w:cs="Times New Roman"/>
        </w:rPr>
      </w:pPr>
      <w:r w:rsidRPr="00CC6C94">
        <w:rPr>
          <w:rFonts w:ascii="Times New Roman" w:hAnsi="Times New Roman" w:cs="Times New Roman"/>
        </w:rPr>
        <w:t xml:space="preserve">The dashboard also includes a KPI for </w:t>
      </w:r>
      <w:r w:rsidRPr="00CC6C94">
        <w:rPr>
          <w:rFonts w:ascii="Times New Roman" w:hAnsi="Times New Roman" w:cs="Times New Roman"/>
          <w:b/>
          <w:bCs/>
        </w:rPr>
        <w:t>total BEV vehicles and their percentage share of the overall EV population</w:t>
      </w:r>
      <w:r w:rsidRPr="00CC6C94">
        <w:rPr>
          <w:rFonts w:ascii="Times New Roman" w:hAnsi="Times New Roman" w:cs="Times New Roman"/>
        </w:rPr>
        <w:t>. Battery Electric Vehicles operate entirely on electricity without relying on traditional fuel engines. By calculating the number of BEVs and their proportion relative to total electric vehicles, the analysis helps determine whether fully electric vehicles are becoming dominant in the market.</w:t>
      </w:r>
    </w:p>
    <w:p w14:paraId="1681CB8B" w14:textId="55AD4EBF" w:rsidR="00831952" w:rsidRDefault="00CC6C94" w:rsidP="00831952">
      <w:pPr>
        <w:rPr>
          <w:rFonts w:ascii="Times New Roman" w:hAnsi="Times New Roman" w:cs="Times New Roman"/>
        </w:rPr>
      </w:pPr>
      <w:r w:rsidRPr="00CC6C94">
        <w:rPr>
          <w:rFonts w:ascii="Times New Roman" w:hAnsi="Times New Roman" w:cs="Times New Roman"/>
        </w:rPr>
        <w:t xml:space="preserve">Similarly, the KPI for </w:t>
      </w:r>
      <w:r w:rsidRPr="00CC6C94">
        <w:rPr>
          <w:rFonts w:ascii="Times New Roman" w:hAnsi="Times New Roman" w:cs="Times New Roman"/>
          <w:b/>
          <w:bCs/>
        </w:rPr>
        <w:t>total PHEV vehicles and their percentage share</w:t>
      </w:r>
      <w:r w:rsidRPr="00CC6C94">
        <w:rPr>
          <w:rFonts w:ascii="Times New Roman" w:hAnsi="Times New Roman" w:cs="Times New Roman"/>
        </w:rPr>
        <w:t xml:space="preserve"> measures the number of Plug-in Hybrid Electric Vehicles and their contribution to the overall EV market. PHEVs combine electric power with conventional internal combustion engines, offering flexibility in driving range. Analyzing their proportion helps evaluate the continued relevance of hybrid technology during the transition toward fully electric transportation.</w:t>
      </w:r>
    </w:p>
    <w:p w14:paraId="3AE63443" w14:textId="77777777" w:rsidR="00831952" w:rsidRPr="00831952" w:rsidRDefault="00831952" w:rsidP="00831952">
      <w:pPr>
        <w:rPr>
          <w:rFonts w:ascii="Times New Roman" w:hAnsi="Times New Roman" w:cs="Times New Roman"/>
        </w:rPr>
      </w:pPr>
    </w:p>
    <w:p w14:paraId="0C6A4B2C" w14:textId="1E380760"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Data Visualization and Analysis</w:t>
      </w:r>
    </w:p>
    <w:p w14:paraId="7D5D5329" w14:textId="77777777" w:rsidR="00735860" w:rsidRPr="00735860" w:rsidRDefault="00735860" w:rsidP="00735860">
      <w:pPr>
        <w:rPr>
          <w:rFonts w:ascii="Times New Roman" w:hAnsi="Times New Roman" w:cs="Times New Roman"/>
        </w:rPr>
      </w:pPr>
      <w:r w:rsidRPr="00735860">
        <w:rPr>
          <w:rFonts w:ascii="Times New Roman" w:hAnsi="Times New Roman" w:cs="Times New Roman"/>
        </w:rPr>
        <w:t xml:space="preserve">To effectively present the insights derived from the dataset, multiple visualizations were developed within the dashboard. The first visualization represents </w:t>
      </w:r>
      <w:r w:rsidRPr="00735860">
        <w:rPr>
          <w:rFonts w:ascii="Times New Roman" w:hAnsi="Times New Roman" w:cs="Times New Roman"/>
          <w:b/>
          <w:bCs/>
        </w:rPr>
        <w:t>Total Vehicles by Model Year (2010 onwards)</w:t>
      </w:r>
      <w:r w:rsidRPr="00735860">
        <w:rPr>
          <w:rFonts w:ascii="Times New Roman" w:hAnsi="Times New Roman" w:cs="Times New Roman"/>
        </w:rPr>
        <w:t xml:space="preserve"> using a </w:t>
      </w:r>
      <w:r w:rsidRPr="00735860">
        <w:rPr>
          <w:rFonts w:ascii="Times New Roman" w:hAnsi="Times New Roman" w:cs="Times New Roman"/>
          <w:b/>
          <w:bCs/>
        </w:rPr>
        <w:t>line or area chart</w:t>
      </w:r>
      <w:r w:rsidRPr="00735860">
        <w:rPr>
          <w:rFonts w:ascii="Times New Roman" w:hAnsi="Times New Roman" w:cs="Times New Roman"/>
        </w:rPr>
        <w:t>, which illustrates the growth trend of electric vehicle adoption over time. The chart shows that EV registrations have steadily increased since 2010, with a significant surge in recent years. This growth reflects rising environmental awareness, supportive government policies, and continuous improvements in battery technology and charging infrastructure. The increasing trend indicates that electric vehicle adoption is accelerating and becoming an important component of the modern transportation system.</w:t>
      </w:r>
    </w:p>
    <w:p w14:paraId="004C47E8" w14:textId="77777777" w:rsidR="00735860" w:rsidRPr="00735860" w:rsidRDefault="00735860" w:rsidP="00735860">
      <w:pPr>
        <w:rPr>
          <w:rFonts w:ascii="Times New Roman" w:hAnsi="Times New Roman" w:cs="Times New Roman"/>
        </w:rPr>
      </w:pPr>
      <w:r w:rsidRPr="00735860">
        <w:rPr>
          <w:rFonts w:ascii="Times New Roman" w:hAnsi="Times New Roman" w:cs="Times New Roman"/>
        </w:rPr>
        <w:t xml:space="preserve">Another important visualization is </w:t>
      </w:r>
      <w:r w:rsidRPr="00735860">
        <w:rPr>
          <w:rFonts w:ascii="Times New Roman" w:hAnsi="Times New Roman" w:cs="Times New Roman"/>
          <w:b/>
          <w:bCs/>
        </w:rPr>
        <w:t>Total Vehicles by State</w:t>
      </w:r>
      <w:r w:rsidRPr="00735860">
        <w:rPr>
          <w:rFonts w:ascii="Times New Roman" w:hAnsi="Times New Roman" w:cs="Times New Roman"/>
        </w:rPr>
        <w:t xml:space="preserve">, displayed using a </w:t>
      </w:r>
      <w:r w:rsidRPr="00735860">
        <w:rPr>
          <w:rFonts w:ascii="Times New Roman" w:hAnsi="Times New Roman" w:cs="Times New Roman"/>
          <w:b/>
          <w:bCs/>
        </w:rPr>
        <w:t>map visualization</w:t>
      </w:r>
      <w:r w:rsidRPr="00735860">
        <w:rPr>
          <w:rFonts w:ascii="Times New Roman" w:hAnsi="Times New Roman" w:cs="Times New Roman"/>
        </w:rPr>
        <w:t xml:space="preserve">. This geographic representation highlights how EV adoption varies across different </w:t>
      </w:r>
      <w:r w:rsidRPr="00735860">
        <w:rPr>
          <w:rFonts w:ascii="Times New Roman" w:hAnsi="Times New Roman" w:cs="Times New Roman"/>
        </w:rPr>
        <w:lastRenderedPageBreak/>
        <w:t>regions. Certain states demonstrate significantly higher EV concentrations due to stronger environmental regulations, availability of charging infrastructure, and financial incentives that promote clean energy transportation. This visualization helps identify regions with strong EV penetration while also highlighting areas that may require additional policy support or infrastructure development to encourage adoption.</w:t>
      </w:r>
    </w:p>
    <w:p w14:paraId="096F3413" w14:textId="77777777" w:rsidR="00735860" w:rsidRPr="00735860" w:rsidRDefault="00735860" w:rsidP="00735860">
      <w:pPr>
        <w:rPr>
          <w:rFonts w:ascii="Times New Roman" w:hAnsi="Times New Roman" w:cs="Times New Roman"/>
        </w:rPr>
      </w:pPr>
      <w:r w:rsidRPr="00735860">
        <w:rPr>
          <w:rFonts w:ascii="Times New Roman" w:hAnsi="Times New Roman" w:cs="Times New Roman"/>
        </w:rPr>
        <w:t xml:space="preserve">Additional visualizations include </w:t>
      </w:r>
      <w:r w:rsidRPr="00735860">
        <w:rPr>
          <w:rFonts w:ascii="Times New Roman" w:hAnsi="Times New Roman" w:cs="Times New Roman"/>
          <w:b/>
          <w:bCs/>
        </w:rPr>
        <w:t>Top 10 Vehicles by Make</w:t>
      </w:r>
      <w:r w:rsidRPr="00735860">
        <w:rPr>
          <w:rFonts w:ascii="Times New Roman" w:hAnsi="Times New Roman" w:cs="Times New Roman"/>
        </w:rPr>
        <w:t xml:space="preserve">, </w:t>
      </w:r>
      <w:r w:rsidRPr="00735860">
        <w:rPr>
          <w:rFonts w:ascii="Times New Roman" w:hAnsi="Times New Roman" w:cs="Times New Roman"/>
          <w:b/>
          <w:bCs/>
        </w:rPr>
        <w:t>Vehicles by CAFV Eligibility</w:t>
      </w:r>
      <w:r w:rsidRPr="00735860">
        <w:rPr>
          <w:rFonts w:ascii="Times New Roman" w:hAnsi="Times New Roman" w:cs="Times New Roman"/>
        </w:rPr>
        <w:t xml:space="preserve">, and </w:t>
      </w:r>
      <w:r w:rsidRPr="00735860">
        <w:rPr>
          <w:rFonts w:ascii="Times New Roman" w:hAnsi="Times New Roman" w:cs="Times New Roman"/>
          <w:b/>
          <w:bCs/>
        </w:rPr>
        <w:t>Top 10 Vehicles by Model</w:t>
      </w:r>
      <w:r w:rsidRPr="00735860">
        <w:rPr>
          <w:rFonts w:ascii="Times New Roman" w:hAnsi="Times New Roman" w:cs="Times New Roman"/>
        </w:rPr>
        <w:t xml:space="preserve">. A </w:t>
      </w:r>
      <w:r w:rsidRPr="00735860">
        <w:rPr>
          <w:rFonts w:ascii="Times New Roman" w:hAnsi="Times New Roman" w:cs="Times New Roman"/>
          <w:b/>
          <w:bCs/>
        </w:rPr>
        <w:t>bar chart</w:t>
      </w:r>
      <w:r w:rsidRPr="00735860">
        <w:rPr>
          <w:rFonts w:ascii="Times New Roman" w:hAnsi="Times New Roman" w:cs="Times New Roman"/>
        </w:rPr>
        <w:t xml:space="preserve"> was used to identify leading EV manufacturers based on total vehicle registrations, revealing that a few major manufacturers dominate the market. A </w:t>
      </w:r>
      <w:r w:rsidRPr="00735860">
        <w:rPr>
          <w:rFonts w:ascii="Times New Roman" w:hAnsi="Times New Roman" w:cs="Times New Roman"/>
          <w:b/>
          <w:bCs/>
        </w:rPr>
        <w:t>pie or donut chart</w:t>
      </w:r>
      <w:r w:rsidRPr="00735860">
        <w:rPr>
          <w:rFonts w:ascii="Times New Roman" w:hAnsi="Times New Roman" w:cs="Times New Roman"/>
        </w:rPr>
        <w:t xml:space="preserve"> was used to analyze CAFV eligibility, showing the proportion of vehicles that qualify for clean fuel incentives, which often play a significant role in encouraging EV adoption. Lastly, a </w:t>
      </w:r>
      <w:r w:rsidRPr="00735860">
        <w:rPr>
          <w:rFonts w:ascii="Times New Roman" w:hAnsi="Times New Roman" w:cs="Times New Roman"/>
          <w:b/>
          <w:bCs/>
        </w:rPr>
        <w:t>tree map</w:t>
      </w:r>
      <w:r w:rsidRPr="00735860">
        <w:rPr>
          <w:rFonts w:ascii="Times New Roman" w:hAnsi="Times New Roman" w:cs="Times New Roman"/>
        </w:rPr>
        <w:t xml:space="preserve"> was used to highlight the most popular EV models, demonstrating that certain models contribute a disproportionately large share of total registrations, reflecting consumer preferences and market demand trends.</w:t>
      </w:r>
    </w:p>
    <w:p w14:paraId="1FD1D2E5" w14:textId="77777777" w:rsidR="00831952" w:rsidRPr="00831952" w:rsidRDefault="00831952" w:rsidP="00831952">
      <w:pPr>
        <w:rPr>
          <w:rFonts w:ascii="Times New Roman" w:hAnsi="Times New Roman" w:cs="Times New Roman"/>
        </w:rPr>
      </w:pPr>
    </w:p>
    <w:p w14:paraId="29D7ADB9" w14:textId="47622F73"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Key Insights</w:t>
      </w:r>
    </w:p>
    <w:p w14:paraId="523054AB"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Based on the analysis, several important insights were derived:</w:t>
      </w:r>
    </w:p>
    <w:p w14:paraId="232D0262"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EV adoption has grown significantly since 2010, with rapid acceleration in recent years.</w:t>
      </w:r>
    </w:p>
    <w:p w14:paraId="10C13069"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BEVs constitute a substantial portion of the total EV market, indicating a shift toward fully electric vehicles.</w:t>
      </w:r>
    </w:p>
    <w:p w14:paraId="5E6AF892"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Average electric range has improved, reflecting technological progress in battery development.</w:t>
      </w:r>
    </w:p>
    <w:p w14:paraId="48CEDD5E"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EV adoption is geographically concentrated in specific states.</w:t>
      </w:r>
    </w:p>
    <w:p w14:paraId="430F414E"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A limited number of manufacturers dominate the EV market.</w:t>
      </w:r>
    </w:p>
    <w:p w14:paraId="3B49253A" w14:textId="77777777" w:rsidR="00831952" w:rsidRPr="00831952" w:rsidRDefault="00831952" w:rsidP="00831952">
      <w:pPr>
        <w:numPr>
          <w:ilvl w:val="0"/>
          <w:numId w:val="5"/>
        </w:numPr>
        <w:rPr>
          <w:rFonts w:ascii="Times New Roman" w:hAnsi="Times New Roman" w:cs="Times New Roman"/>
        </w:rPr>
      </w:pPr>
      <w:r w:rsidRPr="00831952">
        <w:rPr>
          <w:rFonts w:ascii="Times New Roman" w:hAnsi="Times New Roman" w:cs="Times New Roman"/>
        </w:rPr>
        <w:t>CAFV eligibility plays a supportive role in encouraging adoption.</w:t>
      </w:r>
    </w:p>
    <w:p w14:paraId="0025FE63" w14:textId="1CC32386" w:rsidR="00831952" w:rsidRPr="00831952" w:rsidRDefault="00831952" w:rsidP="00831952">
      <w:pPr>
        <w:rPr>
          <w:rFonts w:ascii="Times New Roman" w:hAnsi="Times New Roman" w:cs="Times New Roman"/>
        </w:rPr>
      </w:pPr>
    </w:p>
    <w:p w14:paraId="4C9CC70C" w14:textId="5FAD28E5" w:rsidR="00831952" w:rsidRPr="00831952" w:rsidRDefault="00831952" w:rsidP="00831952">
      <w:pPr>
        <w:rPr>
          <w:rFonts w:ascii="Times New Roman" w:hAnsi="Times New Roman" w:cs="Times New Roman"/>
          <w:b/>
          <w:bCs/>
        </w:rPr>
      </w:pPr>
      <w:r w:rsidRPr="00831952">
        <w:rPr>
          <w:rFonts w:ascii="Times New Roman" w:hAnsi="Times New Roman" w:cs="Times New Roman"/>
          <w:b/>
          <w:bCs/>
        </w:rPr>
        <w:t>Conclusion</w:t>
      </w:r>
    </w:p>
    <w:p w14:paraId="358D0236"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This project successfully analyzes electric vehicle adoption trends using structured KPIs and interactive data visualizations. The findings confirm that electric vehicles are experiencing rapid growth, driven by technological innovation, environmental awareness, and policy support.</w:t>
      </w:r>
    </w:p>
    <w:p w14:paraId="7D9A943A" w14:textId="77777777" w:rsidR="00831952" w:rsidRPr="00831952" w:rsidRDefault="00831952" w:rsidP="00831952">
      <w:pPr>
        <w:rPr>
          <w:rFonts w:ascii="Times New Roman" w:hAnsi="Times New Roman" w:cs="Times New Roman"/>
        </w:rPr>
      </w:pPr>
      <w:r w:rsidRPr="00831952">
        <w:rPr>
          <w:rFonts w:ascii="Times New Roman" w:hAnsi="Times New Roman" w:cs="Times New Roman"/>
        </w:rPr>
        <w:t>The dominance of BEVs over PHEVs suggests a market transition toward fully electric mobility. Geographical patterns indicate that infrastructure and state-level policies significantly influence adoption rates.</w:t>
      </w:r>
    </w:p>
    <w:p w14:paraId="0F596640" w14:textId="2E0904D9" w:rsidR="00707D6E" w:rsidRPr="00831952" w:rsidRDefault="00831952">
      <w:pPr>
        <w:rPr>
          <w:rFonts w:ascii="Times New Roman" w:hAnsi="Times New Roman" w:cs="Times New Roman"/>
        </w:rPr>
      </w:pPr>
      <w:r w:rsidRPr="00831952">
        <w:rPr>
          <w:rFonts w:ascii="Times New Roman" w:hAnsi="Times New Roman" w:cs="Times New Roman"/>
        </w:rPr>
        <w:lastRenderedPageBreak/>
        <w:t>Overall, this dashboard provides a comprehensive overview of the EV market landscape and serves as a valuable decision-support tool for stakeholders, policymakers, and businesses operating in the electric mobility sector.</w:t>
      </w:r>
    </w:p>
    <w:sectPr w:rsidR="00707D6E" w:rsidRPr="00831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0DF"/>
    <w:multiLevelType w:val="multilevel"/>
    <w:tmpl w:val="CC5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2A74"/>
    <w:multiLevelType w:val="multilevel"/>
    <w:tmpl w:val="CD30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84AD5"/>
    <w:multiLevelType w:val="multilevel"/>
    <w:tmpl w:val="13D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A2EAC"/>
    <w:multiLevelType w:val="multilevel"/>
    <w:tmpl w:val="875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31729"/>
    <w:multiLevelType w:val="multilevel"/>
    <w:tmpl w:val="5062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B1216"/>
    <w:multiLevelType w:val="multilevel"/>
    <w:tmpl w:val="0F9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16270">
    <w:abstractNumId w:val="1"/>
  </w:num>
  <w:num w:numId="2" w16cid:durableId="1210336262">
    <w:abstractNumId w:val="4"/>
  </w:num>
  <w:num w:numId="3" w16cid:durableId="432094179">
    <w:abstractNumId w:val="5"/>
  </w:num>
  <w:num w:numId="4" w16cid:durableId="694500322">
    <w:abstractNumId w:val="3"/>
  </w:num>
  <w:num w:numId="5" w16cid:durableId="1089280008">
    <w:abstractNumId w:val="0"/>
  </w:num>
  <w:num w:numId="6" w16cid:durableId="723455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52"/>
    <w:rsid w:val="000955EE"/>
    <w:rsid w:val="000A13BE"/>
    <w:rsid w:val="00707D6E"/>
    <w:rsid w:val="00735860"/>
    <w:rsid w:val="00831952"/>
    <w:rsid w:val="00B70262"/>
    <w:rsid w:val="00C32D39"/>
    <w:rsid w:val="00C528DB"/>
    <w:rsid w:val="00CC6C94"/>
    <w:rsid w:val="00D31C56"/>
    <w:rsid w:val="00FF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4C45"/>
  <w15:chartTrackingRefBased/>
  <w15:docId w15:val="{D578A48A-A66E-436B-AFF7-5B451A15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952"/>
    <w:rPr>
      <w:rFonts w:eastAsiaTheme="majorEastAsia" w:cstheme="majorBidi"/>
      <w:color w:val="272727" w:themeColor="text1" w:themeTint="D8"/>
    </w:rPr>
  </w:style>
  <w:style w:type="paragraph" w:styleId="Title">
    <w:name w:val="Title"/>
    <w:basedOn w:val="Normal"/>
    <w:next w:val="Normal"/>
    <w:link w:val="TitleChar"/>
    <w:uiPriority w:val="10"/>
    <w:qFormat/>
    <w:rsid w:val="0083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952"/>
    <w:pPr>
      <w:spacing w:before="160"/>
      <w:jc w:val="center"/>
    </w:pPr>
    <w:rPr>
      <w:i/>
      <w:iCs/>
      <w:color w:val="404040" w:themeColor="text1" w:themeTint="BF"/>
    </w:rPr>
  </w:style>
  <w:style w:type="character" w:customStyle="1" w:styleId="QuoteChar">
    <w:name w:val="Quote Char"/>
    <w:basedOn w:val="DefaultParagraphFont"/>
    <w:link w:val="Quote"/>
    <w:uiPriority w:val="29"/>
    <w:rsid w:val="00831952"/>
    <w:rPr>
      <w:i/>
      <w:iCs/>
      <w:color w:val="404040" w:themeColor="text1" w:themeTint="BF"/>
    </w:rPr>
  </w:style>
  <w:style w:type="paragraph" w:styleId="ListParagraph">
    <w:name w:val="List Paragraph"/>
    <w:basedOn w:val="Normal"/>
    <w:uiPriority w:val="34"/>
    <w:qFormat/>
    <w:rsid w:val="00831952"/>
    <w:pPr>
      <w:ind w:left="720"/>
      <w:contextualSpacing/>
    </w:pPr>
  </w:style>
  <w:style w:type="character" w:styleId="IntenseEmphasis">
    <w:name w:val="Intense Emphasis"/>
    <w:basedOn w:val="DefaultParagraphFont"/>
    <w:uiPriority w:val="21"/>
    <w:qFormat/>
    <w:rsid w:val="00831952"/>
    <w:rPr>
      <w:i/>
      <w:iCs/>
      <w:color w:val="0F4761" w:themeColor="accent1" w:themeShade="BF"/>
    </w:rPr>
  </w:style>
  <w:style w:type="paragraph" w:styleId="IntenseQuote">
    <w:name w:val="Intense Quote"/>
    <w:basedOn w:val="Normal"/>
    <w:next w:val="Normal"/>
    <w:link w:val="IntenseQuoteChar"/>
    <w:uiPriority w:val="30"/>
    <w:qFormat/>
    <w:rsid w:val="0083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952"/>
    <w:rPr>
      <w:i/>
      <w:iCs/>
      <w:color w:val="0F4761" w:themeColor="accent1" w:themeShade="BF"/>
    </w:rPr>
  </w:style>
  <w:style w:type="character" w:styleId="IntenseReference">
    <w:name w:val="Intense Reference"/>
    <w:basedOn w:val="DefaultParagraphFont"/>
    <w:uiPriority w:val="32"/>
    <w:qFormat/>
    <w:rsid w:val="00831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621E2-C1FA-4582-B724-6A3C2E7A4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1737</TotalTime>
  <Pages>5</Pages>
  <Words>1392</Words>
  <Characters>8920</Characters>
  <Application>Microsoft Office Word</Application>
  <DocSecurity>0</DocSecurity>
  <Lines>139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Harshil Mayur</dc:creator>
  <cp:keywords/>
  <dc:description/>
  <cp:lastModifiedBy>Patel, Harshil Mayur</cp:lastModifiedBy>
  <cp:revision>2</cp:revision>
  <dcterms:created xsi:type="dcterms:W3CDTF">2026-03-04T15:47:00Z</dcterms:created>
  <dcterms:modified xsi:type="dcterms:W3CDTF">2026-03-12T02:30:00Z</dcterms:modified>
</cp:coreProperties>
</file>