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689"/>
        <w:gridCol w:w="60"/>
        <w:gridCol w:w="78"/>
        <w:gridCol w:w="174"/>
        <w:gridCol w:w="242"/>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CSE111</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ORIENTATION TO COMPUTING-I</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27337::Ajay Kumar Badhan</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20    CA: 50    ETT: 30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Exam Category:   X1: Mid Term Exam: Not Applicable – End Term Exam: All MCQ</w:t>
                  </w: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SKILL DEVELOPMENT</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understand the various functional components of a computer system and basics of computer language.</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explain operating system components and functionalities, and manage various file systems and processes in Windows and Linux.</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describe Linux OS features, installation, directory structure, disk partitions, shell commands, kernel types, and comparison with Windows OS.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predict cohorts based on their technical skillset, understand the relevance of various pathways, and obtain insights of MOOC 's platforms.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CO5 :: understand network components, configurations, and server types, and identify and mitigate security issues effectively.</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CO6 :: practice technical concepts of version control using git and GitHub and create technical profiles on different computing platforms</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2"/>
              <w:gridCol w:w="103"/>
            </w:tblGrid>
            <w:tr>
              <w:trPr>
                <w:trHeight w:val="21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RED HAT RHSCA/RHCE 7</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SANDER VAN VUGT</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PEARSON</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R-2</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OPERATING SYSTEM CONCEPTS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ABRAHAM SILBERSCHATZ, PETER B. GALVIN, GERG GAGNE</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WILEY</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175"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https://www.mysmartprice.com/gear/laptop-pc-model-system-configuration-details-check/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System Configuration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https://www.geeksforgeeks.org/what-are-threads-in-computer-processor-or-cpu/#:~:text=Threads%20are%20the%20virtual%20components,it%20will%20have%204%20threads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Example of Smartphone application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https://www.hp.com/us-en/shop/tech-takes/how-to-enter-bios-setup-windows-pcs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BIOS Setup on Windows PCs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https://support.microsoft.com/en-us/windows/pair-a-bluetooth-device-in-windows-2be7b51f-6ae9-b757-a3b9-95ee40c3e242#:~:text=On%20your%20PC%2C%20select%20Start%20%3E%20Settings%20%3E%20Devices%20%3E%20Bluetooth,they%20appear%2C%20then%20select%20Done.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Pairing Bluetooth device to a laptop</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https://careerservices.fas.harvard.edu/channels/create-a-resume-cv-or-cover-letter/</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Profile creation and Good CV Practices</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38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Computer Systems(Basic structure of computer and its working, Computer associated</w:t>
                        </w:r>
                        <w:r>
                          <w:rPr>
                            <w:rFonts w:ascii="Times New Roman" w:hAnsi="Times New Roman" w:eastAsia="Times New Roman"/>
                            <w:color w:val="000000"/>
                            <w:sz w:val="20"/>
                          </w:rPr>
                          <w:br/>
                          <w:t xml:space="preserve">peripherals, Memories - RAM, ROM, Secondary storage devices, System Configuration –</w:t>
                        </w:r>
                        <w:r>
                          <w:rPr>
                            <w:rFonts w:ascii="Times New Roman" w:hAnsi="Times New Roman" w:eastAsia="Times New Roman"/>
                            <w:color w:val="000000"/>
                            <w:sz w:val="20"/>
                          </w:rPr>
                          <w:br/>
                          <w:t xml:space="preserve">features and comparison (SSD vs hybrid, types of RAMs, Processors - cores/threads))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L1: Lecture zero to be delivered so that students will understand why they need to study this subject.</w:t>
                        </w:r>
                        <w:r>
                          <w:rPr>
                            <w:rFonts w:ascii="Times New Roman" w:hAnsi="Times New Roman" w:eastAsia="Times New Roman"/>
                            <w:color w:val="000000"/>
                            <w:sz w:val="20"/>
                          </w:rPr>
                          <w:br/>
                        </w:r>
                        <w:r>
                          <w:rPr>
                            <w:rFonts w:ascii="Times New Roman" w:hAnsi="Times New Roman" w:eastAsia="Times New Roman"/>
                            <w:color w:val="000000"/>
                            <w:sz w:val="20"/>
                          </w:rPr>
                          <w:br/>
                          <w:t xml:space="preserve">L2: Discuss the basic structure of a computer system along with its peripheral devices.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understand the basic structure of a computer system along with its peripheral devices.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of various peripheral devices (like the use        of a mouse, keyboard, etc.) could be delivered.</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Computer Systems(BIOS</w:t>
                        </w:r>
                        <w:r>
                          <w:rPr>
                            <w:rFonts w:ascii="Times New Roman" w:hAnsi="Times New Roman" w:eastAsia="Times New Roman"/>
                            <w:color w:val="000000"/>
                            <w:sz w:val="20"/>
                          </w:rPr>
                          <w:br/>
                          <w:t xml:space="preserve">Configuration, Compare and contrast PC connection interface (USB, SATA, HDMI, NFC,</w:t>
                        </w:r>
                        <w:r>
                          <w:rPr>
                            <w:rFonts w:ascii="Times New Roman" w:hAnsi="Times New Roman" w:eastAsia="Times New Roman"/>
                            <w:color w:val="000000"/>
                            <w:sz w:val="20"/>
                          </w:rPr>
                          <w:br/>
                          <w:t xml:space="preserve">Bluetooth), RAID, GPU basics, Synchronization across CPU and GPU.)</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BIOS configuration and explain the various PC connection interfaces.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know about the various PC connection interfaces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use of USB and HDMI cables with the computer system.</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Computer Languages(Machine language, Assembly language, High level language, Steps in</w:t>
                        </w:r>
                        <w:r>
                          <w:rPr>
                            <w:rFonts w:ascii="Times New Roman" w:hAnsi="Times New Roman" w:eastAsia="Times New Roman"/>
                            <w:color w:val="000000"/>
                            <w:sz w:val="20"/>
                          </w:rPr>
                          <w:br/>
                          <w:t xml:space="preserve">development of a program, Compilation and Execution, Compiler, Interpreter, Assembler.)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types of technical languages along with the compiler, interpreter, and assembler.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understand the types of technical languages along with the compiler, interpreter, and assembler.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compiler for executing a program.</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Operating System(Operating Systems and its components, Windows Operating System</w:t>
                        </w:r>
                        <w:r>
                          <w:rPr>
                            <w:rFonts w:ascii="Times New Roman" w:hAnsi="Times New Roman" w:eastAsia="Times New Roman"/>
                            <w:color w:val="000000"/>
                            <w:sz w:val="20"/>
                          </w:rPr>
                          <w:br/>
                          <w:t xml:space="preserve">Versions and features, Installation Process)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different versions of the Windows Operating System.</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understand the different versions of Windows Operating System.</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installation of any Windows OS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Operating System(Directory Hierarchy of Windows Operating System</w:t>
                        </w:r>
                        <w:r>
                          <w:rPr>
                            <w:rFonts w:ascii="Times New Roman" w:hAnsi="Times New Roman" w:eastAsia="Times New Roman"/>
                            <w:color w:val="000000"/>
                            <w:sz w:val="20"/>
                          </w:rPr>
                          <w:br/>
                          <w:t xml:space="preserve">(Single level and multiple level), Bootloader.)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Directory Hierarchy of the Windows Operating System.</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directory hierarchy of the Windows operating system.</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 system management(File system basics, Types of file systems ( FAT, GFT, HFS, NDFS,</w:t>
                        </w:r>
                        <w:r>
                          <w:rPr>
                            <w:rFonts w:ascii="Times New Roman" w:hAnsi="Times New Roman" w:eastAsia="Times New Roman"/>
                            <w:color w:val="000000"/>
                            <w:sz w:val="20"/>
                          </w:rPr>
                          <w:br/>
                          <w:t xml:space="preserve">UDF, Extended file systems))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different types of file systems like FAT, GFT, HFS, etc.</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usability of different types of file systems.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 system management(Pipes and redirection, Searching the file system using find and</w:t>
                        </w:r>
                        <w:r>
                          <w:rPr>
                            <w:rFonts w:ascii="Times New Roman" w:hAnsi="Times New Roman" w:eastAsia="Times New Roman"/>
                            <w:color w:val="000000"/>
                            <w:sz w:val="20"/>
                          </w:rPr>
                          <w:br/>
                          <w:t xml:space="preserve">grep with simple regular expressions, Basic process control using signals)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searching operations for different file systems like FAT, GFT, HFS, etc.</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learn about the search operations     for different types of file systems.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 system management(Pausing and</w:t>
                        </w:r>
                        <w:r>
                          <w:rPr>
                            <w:rFonts w:ascii="Times New Roman" w:hAnsi="Times New Roman" w:eastAsia="Times New Roman"/>
                            <w:color w:val="000000"/>
                            <w:sz w:val="20"/>
                          </w:rPr>
                          <w:br/>
                          <w:t xml:space="preserve">Resuming process from a Linux terminal, terminating a process, Adding/removing from search</w:t>
                        </w:r>
                        <w:r>
                          <w:rPr>
                            <w:rFonts w:ascii="Times New Roman" w:hAnsi="Times New Roman" w:eastAsia="Times New Roman"/>
                            <w:color w:val="000000"/>
                            <w:sz w:val="20"/>
                          </w:rPr>
                          <w:br/>
                          <w:t xml:space="preserve">path using PATH variable.)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mechanism of pausing, resuming, and termination of a process from a Linux terminal.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know about the mechanism of pausing, resuming, and termination of a process from the Linux terminal.</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Linux Operating System(Linux OS and its features, Distribution versions, installation process,</w:t>
                        </w:r>
                        <w:r>
                          <w:rPr>
                            <w:rFonts w:ascii="Times New Roman" w:hAnsi="Times New Roman" w:eastAsia="Times New Roman"/>
                            <w:color w:val="000000"/>
                            <w:sz w:val="20"/>
                          </w:rPr>
                          <w:br/>
                          <w:t xml:space="preserve">Directory Hierarchy of Linux System (single level and multiple level).)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Linux OS and its directory hierarchy.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understand the Linux OS and its directory hierarchy.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Linux Operating System(Partitions: Understanding disk partitions and obtaining partition information using system tools,</w:t>
                        </w:r>
                        <w:r>
                          <w:rPr>
                            <w:rFonts w:ascii="Times New Roman" w:hAnsi="Times New Roman" w:eastAsia="Times New Roman"/>
                            <w:color w:val="000000"/>
                            <w:sz w:val="20"/>
                          </w:rPr>
                          <w:br/>
                          <w:t xml:space="preserve">Comparison of windows and Linux OS, Virtual Machines.)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disk partitions using system tools. Also, compare Windows and Linux OS.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disk partitioning and the difference between Windows and Linux OS.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Other Shell commands(ls, cat, man, cd, touch, cp, mv, rmdir, mkdir, rm, chmod)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execution of different types of Unix commands.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get to know about the execution of different types of Unix commands.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execution of commands using terminal</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Other Shell commands(pwd, ps, kill, etc, Kernel and types of kernels.)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execution of different types of shell commands.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get to know about the execution of different types of shell commands.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execution of commands using terminal</w:t>
                        </w: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Cohorts and Skill Sets(Introduction to Cohorts)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cohorts and its significance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understand the different types of cohorts and their significance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Cohorts and Skill Sets(Purpose of Cohorts)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cohorts and its significance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understand the different types of cohorts and their significance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Cohorts and Skill Sets(Companies)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cohorts and its significance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understand the different types of cohorts and their significance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Cohorts and Skill Sets(Skills required and skill sources for different Cohorts (Internal and External))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cohorts and its significance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understand the different types of cohorts and their significance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Cohorts(Cloud Computing)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Cohorts(Cyber Security)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Cohorts(Data Science)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Cohorts(Full Stack Development)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Cohorts(Machine Learning)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Cohorts(Software Methodologies and Testing)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Cohorts(UI/UX)</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Cohorts(Metaverse and Internet of Things)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Cohorts(Job Roles for Different Cohorts)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cohorts (like cloud, cyber security, networks etc.) and their importance in IT sector.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would be able to get the exposure about the various types of cohorts and accordingly they can set their skill set based targets for the placements.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Certification - MOOCs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Pathways(Introduction to Pathways)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w:t>
                        </w:r>
                        <w:r>
                          <w:rPr>
                            <w:rFonts w:ascii="Times New Roman" w:hAnsi="Times New Roman" w:eastAsia="Times New Roman"/>
                            <w:color w:val="000000"/>
                            <w:sz w:val="20"/>
                          </w:rPr>
                          <w:br/>
                          <w:t xml:space="preserve">various types of</w:t>
                        </w:r>
                        <w:r>
                          <w:rPr>
                            <w:rFonts w:ascii="Times New Roman" w:hAnsi="Times New Roman" w:eastAsia="Times New Roman"/>
                            <w:color w:val="000000"/>
                            <w:sz w:val="20"/>
                          </w:rPr>
                          <w:br/>
                          <w:t xml:space="preserve">pathways available for</w:t>
                        </w:r>
                        <w:r>
                          <w:rPr>
                            <w:rFonts w:ascii="Times New Roman" w:hAnsi="Times New Roman" w:eastAsia="Times New Roman"/>
                            <w:color w:val="000000"/>
                            <w:sz w:val="20"/>
                          </w:rPr>
                          <w:br/>
                          <w:t xml:space="preserve">students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w:t>
                        </w:r>
                        <w:r>
                          <w:rPr>
                            <w:rFonts w:ascii="Times New Roman" w:hAnsi="Times New Roman" w:eastAsia="Times New Roman"/>
                            <w:color w:val="000000"/>
                            <w:sz w:val="20"/>
                          </w:rPr>
                          <w:br/>
                          <w:t xml:space="preserve">to understand about</w:t>
                        </w:r>
                        <w:r>
                          <w:rPr>
                            <w:rFonts w:ascii="Times New Roman" w:hAnsi="Times New Roman" w:eastAsia="Times New Roman"/>
                            <w:color w:val="000000"/>
                            <w:sz w:val="20"/>
                          </w:rPr>
                          <w:br/>
                          <w:t xml:space="preserve">the different</w:t>
                        </w:r>
                        <w:r>
                          <w:rPr>
                            <w:rFonts w:ascii="Times New Roman" w:hAnsi="Times New Roman" w:eastAsia="Times New Roman"/>
                            <w:color w:val="000000"/>
                            <w:sz w:val="20"/>
                          </w:rPr>
                          <w:br/>
                          <w:t xml:space="preserve">pathways.</w:t>
                        </w:r>
                        <w:r>
                          <w:rPr>
                            <w:rFonts w:ascii="Times New Roman" w:hAnsi="Times New Roman" w:eastAsia="Times New Roman"/>
                            <w:color w:val="000000"/>
                            <w:sz w:val="20"/>
                          </w:rPr>
                          <w:br/>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w:t>
                        </w:r>
                        <w:r>
                          <w:rPr>
                            <w:rFonts w:ascii="Times New Roman" w:hAnsi="Times New Roman" w:eastAsia="Times New Roman"/>
                            <w:color w:val="000000"/>
                            <w:sz w:val="20"/>
                          </w:rPr>
                          <w:br/>
                          <w:t xml:space="preserve">with PowerPoint</w:t>
                        </w:r>
                        <w:r>
                          <w:rPr>
                            <w:rFonts w:ascii="Times New Roman" w:hAnsi="Times New Roman" w:eastAsia="Times New Roman"/>
                            <w:color w:val="000000"/>
                            <w:sz w:val="20"/>
                          </w:rPr>
                          <w:br/>
                          <w:t xml:space="preserve">presentation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Pathways(Purpose of Pathways)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w:t>
                        </w:r>
                        <w:r>
                          <w:rPr>
                            <w:rFonts w:ascii="Times New Roman" w:hAnsi="Times New Roman" w:eastAsia="Times New Roman"/>
                            <w:color w:val="000000"/>
                            <w:sz w:val="20"/>
                          </w:rPr>
                          <w:br/>
                          <w:t xml:space="preserve">various types of</w:t>
                        </w:r>
                        <w:r>
                          <w:rPr>
                            <w:rFonts w:ascii="Times New Roman" w:hAnsi="Times New Roman" w:eastAsia="Times New Roman"/>
                            <w:color w:val="000000"/>
                            <w:sz w:val="20"/>
                          </w:rPr>
                          <w:br/>
                          <w:t xml:space="preserve">pathways available for</w:t>
                        </w:r>
                        <w:r>
                          <w:rPr>
                            <w:rFonts w:ascii="Times New Roman" w:hAnsi="Times New Roman" w:eastAsia="Times New Roman"/>
                            <w:color w:val="000000"/>
                            <w:sz w:val="20"/>
                          </w:rPr>
                          <w:br/>
                          <w:t xml:space="preserve">students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w:t>
                        </w:r>
                        <w:r>
                          <w:rPr>
                            <w:rFonts w:ascii="Times New Roman" w:hAnsi="Times New Roman" w:eastAsia="Times New Roman"/>
                            <w:color w:val="000000"/>
                            <w:sz w:val="20"/>
                          </w:rPr>
                          <w:br/>
                          <w:t xml:space="preserve">to understand about</w:t>
                        </w:r>
                        <w:r>
                          <w:rPr>
                            <w:rFonts w:ascii="Times New Roman" w:hAnsi="Times New Roman" w:eastAsia="Times New Roman"/>
                            <w:color w:val="000000"/>
                            <w:sz w:val="20"/>
                          </w:rPr>
                          <w:br/>
                          <w:t xml:space="preserve">the different</w:t>
                        </w:r>
                        <w:r>
                          <w:rPr>
                            <w:rFonts w:ascii="Times New Roman" w:hAnsi="Times New Roman" w:eastAsia="Times New Roman"/>
                            <w:color w:val="000000"/>
                            <w:sz w:val="20"/>
                          </w:rPr>
                          <w:br/>
                          <w:t xml:space="preserve">pathways.</w:t>
                        </w:r>
                        <w:r>
                          <w:rPr>
                            <w:rFonts w:ascii="Times New Roman" w:hAnsi="Times New Roman" w:eastAsia="Times New Roman"/>
                            <w:color w:val="000000"/>
                            <w:sz w:val="20"/>
                          </w:rPr>
                          <w:br/>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w:t>
                        </w:r>
                        <w:r>
                          <w:rPr>
                            <w:rFonts w:ascii="Times New Roman" w:hAnsi="Times New Roman" w:eastAsia="Times New Roman"/>
                            <w:color w:val="000000"/>
                            <w:sz w:val="20"/>
                          </w:rPr>
                          <w:br/>
                          <w:t xml:space="preserve">with PowerPoint</w:t>
                        </w:r>
                        <w:r>
                          <w:rPr>
                            <w:rFonts w:ascii="Times New Roman" w:hAnsi="Times New Roman" w:eastAsia="Times New Roman"/>
                            <w:color w:val="000000"/>
                            <w:sz w:val="20"/>
                          </w:rPr>
                          <w:br/>
                          <w:t xml:space="preserve">presentation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Pathways(Job Roles for Different Pathways)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w:t>
                        </w:r>
                        <w:r>
                          <w:rPr>
                            <w:rFonts w:ascii="Times New Roman" w:hAnsi="Times New Roman" w:eastAsia="Times New Roman"/>
                            <w:color w:val="000000"/>
                            <w:sz w:val="20"/>
                          </w:rPr>
                          <w:br/>
                          <w:t xml:space="preserve">various types of</w:t>
                        </w:r>
                        <w:r>
                          <w:rPr>
                            <w:rFonts w:ascii="Times New Roman" w:hAnsi="Times New Roman" w:eastAsia="Times New Roman"/>
                            <w:color w:val="000000"/>
                            <w:sz w:val="20"/>
                          </w:rPr>
                          <w:br/>
                          <w:t xml:space="preserve">pathways available for</w:t>
                        </w:r>
                        <w:r>
                          <w:rPr>
                            <w:rFonts w:ascii="Times New Roman" w:hAnsi="Times New Roman" w:eastAsia="Times New Roman"/>
                            <w:color w:val="000000"/>
                            <w:sz w:val="20"/>
                          </w:rPr>
                          <w:br/>
                          <w:t xml:space="preserve">students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w:t>
                        </w:r>
                        <w:r>
                          <w:rPr>
                            <w:rFonts w:ascii="Times New Roman" w:hAnsi="Times New Roman" w:eastAsia="Times New Roman"/>
                            <w:color w:val="000000"/>
                            <w:sz w:val="20"/>
                          </w:rPr>
                          <w:br/>
                          <w:t xml:space="preserve">to understand about</w:t>
                        </w:r>
                        <w:r>
                          <w:rPr>
                            <w:rFonts w:ascii="Times New Roman" w:hAnsi="Times New Roman" w:eastAsia="Times New Roman"/>
                            <w:color w:val="000000"/>
                            <w:sz w:val="20"/>
                          </w:rPr>
                          <w:br/>
                          <w:t xml:space="preserve">the different</w:t>
                        </w:r>
                        <w:r>
                          <w:rPr>
                            <w:rFonts w:ascii="Times New Roman" w:hAnsi="Times New Roman" w:eastAsia="Times New Roman"/>
                            <w:color w:val="000000"/>
                            <w:sz w:val="20"/>
                          </w:rPr>
                          <w:br/>
                          <w:t xml:space="preserve">pathways.</w:t>
                        </w:r>
                        <w:r>
                          <w:rPr>
                            <w:rFonts w:ascii="Times New Roman" w:hAnsi="Times New Roman" w:eastAsia="Times New Roman"/>
                            <w:color w:val="000000"/>
                            <w:sz w:val="20"/>
                          </w:rPr>
                          <w:br/>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w:t>
                        </w:r>
                        <w:r>
                          <w:rPr>
                            <w:rFonts w:ascii="Times New Roman" w:hAnsi="Times New Roman" w:eastAsia="Times New Roman"/>
                            <w:color w:val="000000"/>
                            <w:sz w:val="20"/>
                          </w:rPr>
                          <w:br/>
                          <w:t xml:space="preserve">with PowerPoint</w:t>
                        </w:r>
                        <w:r>
                          <w:rPr>
                            <w:rFonts w:ascii="Times New Roman" w:hAnsi="Times New Roman" w:eastAsia="Times New Roman"/>
                            <w:color w:val="000000"/>
                            <w:sz w:val="20"/>
                          </w:rPr>
                          <w:br/>
                          <w:t xml:space="preserve">presentation</w:t>
                        </w:r>
                        <w:r>
                          <w:rPr>
                            <w:rFonts w:ascii="Times New Roman" w:hAnsi="Times New Roman" w:eastAsia="Times New Roman"/>
                            <w:color w:val="000000"/>
                            <w:sz w:val="20"/>
                          </w:rPr>
                          <w:br/>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Pathways(Types of Pathways: Product Based, Service Based, Government Jobs, Higher studies, Entrepreneurship)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various types of pathways available for students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understand about the different pathways.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Hackathons(Introduction to MOOCs and Hackathons)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Hackathons(Types of MOOCs)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Hackathons(Various MOOCs Platforms)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Hackathons(Benefits of MOOCs)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Hackathons(Globally Recognized Hackathons and Competitions)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 and Hackathons(MAANG Companies)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MOOCs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Figma, GitHub, Stack Overflow, HackerRank, HackerEarth, GeeksforGeeks.</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Computer Network and Communication(Network types (wired and wireless), Network</w:t>
                        </w:r>
                        <w:r>
                          <w:rPr>
                            <w:rFonts w:ascii="Times New Roman" w:hAnsi="Times New Roman" w:eastAsia="Times New Roman"/>
                            <w:color w:val="000000"/>
                            <w:sz w:val="20"/>
                          </w:rPr>
                          <w:br/>
                          <w:t xml:space="preserve">topologies, Network communication devices (Routers, Switches, Modems, Hubs, access point),</w:t>
                        </w:r>
                        <w:r>
                          <w:rPr>
                            <w:rFonts w:ascii="Times New Roman" w:hAnsi="Times New Roman" w:eastAsia="Times New Roman"/>
                            <w:color w:val="000000"/>
                            <w:sz w:val="20"/>
                          </w:rPr>
                          <w:br/>
                          <w:t xml:space="preserve">Setting IP addresses, sharing files and folders, Remote Login, SSH, Wireless Security (http vs</w:t>
                        </w:r>
                        <w:r>
                          <w:rPr>
                            <w:rFonts w:ascii="Times New Roman" w:hAnsi="Times New Roman" w:eastAsia="Times New Roman"/>
                            <w:color w:val="000000"/>
                            <w:sz w:val="20"/>
                          </w:rPr>
                          <w:br/>
                          <w:t xml:space="preserve">https))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various concepts of networking and the different topologies used with different devices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the basic concepts of networking including topologies and networking devices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Portfolio</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Computer Network and Communication(Client Server model, Types of Servers (Proxy servers, Application server, Web server,</w:t>
                        </w:r>
                        <w:r>
                          <w:rPr>
                            <w:rFonts w:ascii="Times New Roman" w:hAnsi="Times New Roman" w:eastAsia="Times New Roman"/>
                            <w:color w:val="000000"/>
                            <w:sz w:val="20"/>
                          </w:rPr>
                          <w:br/>
                          <w:t xml:space="preserve">File server, Database server, Synchronization server, Log server).)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types of servers that are used and the how essential is the client-server model. Also, provide an introduction to the basic security essentials that are used in day-to-day life.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the workings of the client-server model along with the different terminologies used in the security.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Security Essentials(Basic security threats (malwares, Phishing, Social engineering,</w:t>
                        </w:r>
                        <w:r>
                          <w:rPr>
                            <w:rFonts w:ascii="Times New Roman" w:hAnsi="Times New Roman" w:eastAsia="Times New Roman"/>
                            <w:color w:val="000000"/>
                            <w:sz w:val="20"/>
                          </w:rPr>
                          <w:br/>
                          <w:t xml:space="preserve">Password cracking))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types of servers that are used and the how essential is the client-server model. Also, provide an introduction to the basic security essentials that are used in day-to-day life.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the workings of the client-server model along with the different terminologies used in the security.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Security Essentials(Password management (Password complexity, Change default</w:t>
                        </w:r>
                        <w:r>
                          <w:rPr>
                            <w:rFonts w:ascii="Times New Roman" w:hAnsi="Times New Roman" w:eastAsia="Times New Roman"/>
                            <w:color w:val="000000"/>
                            <w:sz w:val="20"/>
                          </w:rPr>
                          <w:br/>
                          <w:t xml:space="preserve">passwords), Open WiFi vs. secure WiFi, Multi Factor authentication, Admin vs. user vs. guest</w:t>
                        </w:r>
                        <w:r>
                          <w:rPr>
                            <w:rFonts w:ascii="Times New Roman" w:hAnsi="Times New Roman" w:eastAsia="Times New Roman"/>
                            <w:color w:val="000000"/>
                            <w:sz w:val="20"/>
                          </w:rPr>
                          <w:br/>
                          <w:t xml:space="preserve">Account.)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types of servers that are used and the how essential is the client-server model. Also, provide an introduction to the basic security essentials that are used in day-to-day life.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the workings of the client-server model along with the different terminologies used in the security.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Version Control(Overview of Git and GitHub, Install git and create a GitHub account)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process of creating an account on GitHub and installing Git.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process of creating an account on GitHub and installing Git.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Version Control(Create a</w:t>
                        </w:r>
                        <w:r>
                          <w:rPr>
                            <w:rFonts w:ascii="Times New Roman" w:hAnsi="Times New Roman" w:eastAsia="Times New Roman"/>
                            <w:color w:val="000000"/>
                            <w:sz w:val="20"/>
                          </w:rPr>
                          <w:br/>
                          <w:t xml:space="preserve">local git repository, Add a new file to the repository, Creating a commit, Creation of a new</w:t>
                        </w:r>
                        <w:r>
                          <w:rPr>
                            <w:rFonts w:ascii="Times New Roman" w:hAnsi="Times New Roman" w:eastAsia="Times New Roman"/>
                            <w:color w:val="000000"/>
                            <w:sz w:val="20"/>
                          </w:rPr>
                          <w:br/>
                          <w:t xml:space="preserve">Branch)</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process of creating an account on GitHub and installing Git.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process of creating an account on GitHub and installing Git.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Profile Creation(Figma, GitHub, Stack overflow, HackerRank, HackerEarth, GeeksforGeeks.)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 the applications of Computer Science and Engineering. Also, provide insights to the students on how to write an impact full CV.</w:t>
                        </w:r>
                        <w:r>
                          <w:rPr>
                            <w:rFonts w:ascii="Times New Roman" w:hAnsi="Times New Roman" w:eastAsia="Times New Roman"/>
                            <w:color w:val="000000"/>
                            <w:sz w:val="20"/>
                          </w:rPr>
                          <w:br/>
                        </w:r>
                        <w:r>
                          <w:rPr>
                            <w:rFonts w:ascii="Times New Roman" w:hAnsi="Times New Roman" w:eastAsia="Times New Roman"/>
                            <w:color w:val="000000"/>
                            <w:sz w:val="20"/>
                          </w:rPr>
                          <w:br/>
                          <w:t xml:space="preserve">Discuss about the different types of MOOC and Hackathons available nowadays.</w:t>
                        </w:r>
                        <w:r>
                          <w:rPr>
                            <w:rFonts w:ascii="Times New Roman" w:hAnsi="Times New Roman" w:eastAsia="Times New Roman"/>
                            <w:color w:val="000000"/>
                            <w:sz w:val="20"/>
                          </w:rPr>
                          <w:br/>
                          <w:t xml:space="preserve">Also, explain the importance of doing MOOC and participating in hackathons.</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the importance of doing MOOCs and appearing in hackathons for their professional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Demonstration with PowerPoint presentation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3129"/>
              <w:gridCol w:w="218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is:C010102 (Total 3 tasks, 1 compulsory and out of remaining 1 best out of 2 to be considered)</w:t>
                        </w:r>
                      </w:p>
                    </w:tc>
                  </w:tr>
                </w:tbl>
                <w:p>
                  <w:pPr>
                    <w:spacing w:after="0" w:line="240" w:lineRule="auto"/>
                  </w:pPr>
                </w:p>
              </w:tc>
              <w:tc>
                <w:tcPr>
                  <w:tcW w:w="3129" w:type="dxa"/>
                  <w:hMerge w:val="continue"/>
                </w:tcPr>
                <w:p>
                  <w:pPr>
                    <w:pStyle w:val="EmptyCellLayoutStyle"/>
                    <w:spacing w:after="0" w:line="240" w:lineRule="auto"/>
                  </w:pPr>
                </w:p>
              </w:tc>
              <w:tc>
                <w:tcPr>
                  <w:tcW w:w="218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270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Iscompulsory</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Certification - MOOCs</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CO3, CO4</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Portfolio</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Yes</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 CO5, CO6</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270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w:t>
                        </w:r>
                      </w:p>
                    </w:tc>
                  </w:tr>
                </w:tbl>
                <w:p>
                  <w:pPr>
                    <w:spacing w:after="0" w:line="240" w:lineRule="auto"/>
                  </w:pPr>
                </w:p>
              </w:tc>
              <w:tc>
                <w:tcPr>
                  <w:tcW w:w="5371" w:type="dxa"/>
                  <w:hMerge w:val="continue"/>
                </w:tcPr>
                <w:p>
                  <w:pPr>
                    <w:pStyle w:val="EmptyCellLayoutStyle"/>
                    <w:spacing w:after="0" w:line="240" w:lineRule="auto"/>
                  </w:pPr>
                </w:p>
              </w:tc>
              <w:tc>
                <w:tcPr>
                  <w:tcW w:w="3129" w:type="dxa"/>
                  <w:hMerge w:val="continue"/>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2"/>
              <w:gridCol w:w="18"/>
              <w:gridCol w:w="58"/>
              <w:gridCol w:w="8761"/>
              <w:gridCol w:w="58"/>
              <w:gridCol w:w="3538"/>
              <w:gridCol w:w="2211"/>
              <w:gridCol w:w="434"/>
            </w:tblGrid>
            <w:tr>
              <w:trPr>
                <w:trHeight w:val="160"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hMerge w:val="restart"/>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8" w:type="dxa"/>
                  <w:hMerge w:val="continue"/>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c>
                <w:tcPr>
                  <w:tcW w:w="7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Certification - MOOCs</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aware students about the importance of non-technical assets to streamline their career along with the learning of technical skill set.</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Non-Technical Online MOOC course: Students will complete one non-technical MOOC course (Minimum duration of 5 hr) and submit the completion certificate.</w:t>
                        </w:r>
                        <w:r>
                          <w:rPr>
                            <w:rFonts w:ascii="Times New Roman" w:hAnsi="Times New Roman" w:eastAsia="Times New Roman"/>
                            <w:color w:val="000000"/>
                            <w:sz w:val="20"/>
                          </w:rPr>
                          <w:br/>
                          <w:t xml:space="preserve">Rubrics to be followed:</w:t>
                        </w:r>
                        <w:r>
                          <w:rPr>
                            <w:rFonts w:ascii="Times New Roman" w:hAnsi="Times New Roman" w:eastAsia="Times New Roman"/>
                            <w:color w:val="000000"/>
                            <w:sz w:val="20"/>
                          </w:rPr>
                          <w:br/>
                          <w:t xml:space="preserve">Certificate Submission – 15 Marks Viva/Presentation – 15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6 / 9</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Portfolio</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aware the students about the availability of online technical platforms and nurture them for the preparation of Placement based activities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portfolio needs to be prepared which includes CV along with technical MooC registration. Students will create their technical profiles and taking insights by doing some technical activities thereon.</w:t>
                        </w:r>
                        <w:r>
                          <w:rPr>
                            <w:rFonts w:ascii="Times New Roman" w:hAnsi="Times New Roman" w:eastAsia="Times New Roman"/>
                            <w:color w:val="000000"/>
                            <w:sz w:val="20"/>
                          </w:rPr>
                          <w:br/>
                          <w:t xml:space="preserve">Various technical platforms like Github, Stack overflow, Hackerrank, Figma, Hackerearth, Geeks for Geeks and Linked in could be considered.</w:t>
                        </w:r>
                        <w:r>
                          <w:rPr>
                            <w:rFonts w:ascii="Times New Roman" w:hAnsi="Times New Roman" w:eastAsia="Times New Roman"/>
                            <w:color w:val="000000"/>
                            <w:sz w:val="20"/>
                          </w:rPr>
                          <w:br/>
                          <w:t xml:space="preserve">Rubrics to be followed:</w:t>
                        </w:r>
                        <w:r>
                          <w:rPr>
                            <w:rFonts w:ascii="Times New Roman" w:hAnsi="Times New Roman" w:eastAsia="Times New Roman"/>
                            <w:color w:val="000000"/>
                            <w:sz w:val="20"/>
                          </w:rPr>
                          <w:br/>
                          <w:t xml:space="preserve">Profile creation and technical activities done by student on various technical platforms [10 marks]</w:t>
                        </w:r>
                        <w:r>
                          <w:rPr>
                            <w:rFonts w:ascii="Times New Roman" w:hAnsi="Times New Roman" w:eastAsia="Times New Roman"/>
                            <w:color w:val="000000"/>
                            <w:sz w:val="20"/>
                          </w:rPr>
                          <w:br/>
                          <w:t xml:space="preserve">CV with one technical MOOC course registration proof [10 marks] GitHub profile with repositories and forks [10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 / 12</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evaluate the conceptual and technical understanding about the various fundamentals concepts of computer system</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1 will be MCQ-based, containing 30 questions of 1 mark each, which includes analytical and logical scenario-based questions. Students would be evaluated based on their performance in the class test </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 / 5</w:t>
                        </w:r>
                      </w:p>
                    </w:tc>
                  </w:tr>
                </w:tbl>
                <w:p>
                  <w:pPr>
                    <w:spacing w:after="0" w:line="240" w:lineRule="auto"/>
                  </w:pPr>
                </w:p>
              </w:tc>
              <w:tc>
                <w:tcPr>
                  <w:tcW w:w="18"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40"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hMerge w:val="restart"/>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MOOCs/ Certification etc. mapped with the Academic Task(s)</w:t>
                        </w:r>
                      </w:p>
                    </w:tc>
                  </w:tr>
                </w:tbl>
                <w:p>
                  <w:pPr>
                    <w:spacing w:after="0" w:line="240" w:lineRule="auto"/>
                  </w:pPr>
                </w:p>
              </w:tc>
              <w:tc>
                <w:tcPr>
                  <w:tcW w:w="8761" w:type="dxa"/>
                  <w:hMerge w:val="continue"/>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66"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c>
                <w:tcPr>
                  <w:tcW w:w="7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80"/>
                    <w:gridCol w:w="5620"/>
                    <w:gridCol w:w="2722"/>
                    <w:gridCol w:w="4194"/>
                  </w:tblGrid>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Academic Task</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Name Of Certification/Online Course/Test/Competition mapped</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Offered By Organisation</w:t>
                        </w:r>
                      </w:p>
                    </w:tc>
                  </w:tr>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Certification - MOOCs</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LINUX COMMANDS AND SHELL SCRIPTING</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SKILLERA</w:t>
                        </w:r>
                      </w:p>
                    </w:tc>
                  </w:tr>
                  <w:tr>
                    <w:trPr>
                      <w:trHeight w:val="294" w:hRule="atLeast"/>
                    </w:trPr>
                    <w:tc>
                      <w:tcPr>
                        <w:tcW w:w="2180" w:type="dxa"/>
                        <w:tcBorders>
                          <w:top w:val="single" w:color="D3D3D3" w:sz="7"/>
                          <w:left w:val="nil" w:color="000000" w:sz="7"/>
                          <w:bottom w:val="single" w:color="D3D3D3"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56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GIT AND GITHUB</w:t>
                        </w:r>
                      </w:p>
                    </w:tc>
                    <w:tc>
                      <w:tcPr>
                        <w:tcW w:w="27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MOOCs</w:t>
                        </w:r>
                      </w:p>
                    </w:tc>
                    <w:tc>
                      <w:tcPr>
                        <w:tcW w:w="419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Coursera</w:t>
                        </w:r>
                      </w:p>
                    </w:tc>
                  </w:tr>
                </w:tbl>
                <w:p>
                  <w:pPr>
                    <w:spacing w:after="0" w:line="240" w:lineRule="auto"/>
                  </w:pPr>
                </w:p>
              </w:tc>
              <w:tc>
                <w:tcPr>
                  <w:tcW w:w="18"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203"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723" w:hRule="atLeast"/>
              </w:trPr>
              <w:tc>
                <w:tcPr>
                  <w:tcW w:w="72" w:type="dxa"/>
                </w:tcPr>
                <w:p>
                  <w:pPr>
                    <w:pStyle w:val="EmptyCellLayoutStyle"/>
                    <w:spacing w:after="0" w:line="240" w:lineRule="auto"/>
                  </w:pPr>
                </w:p>
              </w:tc>
              <w:tc>
                <w:tcPr>
                  <w:tcW w:w="18" w:type="dxa"/>
                  <w:hMerge w:val="restart"/>
                </w:tcPr>
                <w:tbl>
                  <w:tblPr>
                    <w:tblCellMar>
                      <w:top w:w="0" w:type="dxa"/>
                      <w:left w:w="0" w:type="dxa"/>
                      <w:bottom w:w="0" w:type="dxa"/>
                      <w:right w:w="0" w:type="dxa"/>
                    </w:tblCellMar>
                  </w:tblPr>
                  <w:tblGrid>
                    <w:gridCol w:w="12435"/>
                  </w:tblGrid>
                  <w:tr>
                    <w:trPr>
                      <w:trHeight w:val="645" w:hRule="atLeast"/>
                    </w:trPr>
                    <w:tc>
                      <w:tcPr>
                        <w:tcW w:w="1243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Where MOOCs/ Certification etc. are mapped with Academic Tasks:</w:t>
                        </w:r>
                      </w:p>
                      <w:p>
                        <w:pPr>
                          <w:spacing w:after="0" w:line="240" w:lineRule="auto"/>
                          <w:jc w:val="left"/>
                        </w:pPr>
                        <w:r>
                          <w:rPr>
                            <w:rFonts w:ascii="Times New Roman" w:hAnsi="Times New Roman" w:eastAsia="Times New Roman"/>
                            <w:color w:val="000000"/>
                            <w:sz w:val="20"/>
                          </w:rPr>
                          <w:t xml:space="preserve">1. Students have choice to appear for Academic Task or MOOCs etc.</w:t>
                        </w:r>
                      </w:p>
                      <w:p>
                        <w:pPr>
                          <w:spacing w:after="0" w:line="240" w:lineRule="auto"/>
                          <w:jc w:val="left"/>
                        </w:pPr>
                        <w:r>
                          <w:rPr>
                            <w:rFonts w:ascii="Times New Roman" w:hAnsi="Times New Roman" w:eastAsia="Times New Roman"/>
                            <w:color w:val="000000"/>
                            <w:sz w:val="20"/>
                          </w:rPr>
                          <w:t xml:space="preserve">2. The student may appear for both, In this case best obtained marks will be considered.</w:t>
                        </w:r>
                      </w:p>
                    </w:tc>
                  </w:tr>
                </w:tbl>
                <w:p>
                  <w:pPr>
                    <w:spacing w:after="0" w:line="240" w:lineRule="auto"/>
                  </w:pPr>
                </w:p>
              </w:tc>
              <w:tc>
                <w:tcPr>
                  <w:tcW w:w="58" w:type="dxa"/>
                  <w:hMerge w:val="continue"/>
                </w:tcPr>
                <w:p>
                  <w:pPr>
                    <w:pStyle w:val="EmptyCellLayoutStyle"/>
                    <w:spacing w:after="0" w:line="240" w:lineRule="auto"/>
                  </w:pPr>
                </w:p>
              </w:tc>
              <w:tc>
                <w:tcPr>
                  <w:tcW w:w="8761" w:type="dxa"/>
                  <w:hMerge w:val="continue"/>
                </w:tcPr>
                <w:p>
                  <w:pPr>
                    <w:pStyle w:val="EmptyCellLayoutStyle"/>
                    <w:spacing w:after="0" w:line="240" w:lineRule="auto"/>
                  </w:pPr>
                </w:p>
              </w:tc>
              <w:tc>
                <w:tcPr>
                  <w:tcW w:w="58" w:type="dxa"/>
                  <w:hMerge w:val="continue"/>
                </w:tcPr>
                <w:p>
                  <w:pPr>
                    <w:pStyle w:val="EmptyCellLayoutStyle"/>
                    <w:spacing w:after="0" w:line="240" w:lineRule="auto"/>
                  </w:pPr>
                </w:p>
              </w:tc>
              <w:tc>
                <w:tcPr>
                  <w:tcW w:w="3538" w:type="dxa"/>
                  <w:hMerge w:val="continue"/>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r>
              <w:trPr>
                <w:trHeight w:val="332" w:hRule="atLeast"/>
              </w:trPr>
              <w:tc>
                <w:tcPr>
                  <w:tcW w:w="72" w:type="dxa"/>
                </w:tcPr>
                <w:p>
                  <w:pPr>
                    <w:pStyle w:val="EmptyCellLayoutStyle"/>
                    <w:spacing w:after="0" w:line="240" w:lineRule="auto"/>
                  </w:pPr>
                </w:p>
              </w:tc>
              <w:tc>
                <w:tcPr>
                  <w:tcW w:w="18" w:type="dxa"/>
                </w:tcPr>
                <w:p>
                  <w:pPr>
                    <w:pStyle w:val="EmptyCellLayoutStyle"/>
                    <w:spacing w:after="0" w:line="240" w:lineRule="auto"/>
                  </w:pPr>
                </w:p>
              </w:tc>
              <w:tc>
                <w:tcPr>
                  <w:tcW w:w="58" w:type="dxa"/>
                </w:tcPr>
                <w:p>
                  <w:pPr>
                    <w:pStyle w:val="EmptyCellLayoutStyle"/>
                    <w:spacing w:after="0" w:line="240" w:lineRule="auto"/>
                  </w:pPr>
                </w:p>
              </w:tc>
              <w:tc>
                <w:tcPr>
                  <w:tcW w:w="8761" w:type="dxa"/>
                </w:tcPr>
                <w:p>
                  <w:pPr>
                    <w:pStyle w:val="EmptyCellLayoutStyle"/>
                    <w:spacing w:after="0" w:line="240" w:lineRule="auto"/>
                  </w:pPr>
                </w:p>
              </w:tc>
              <w:tc>
                <w:tcPr>
                  <w:tcW w:w="58" w:type="dxa"/>
                </w:tcPr>
                <w:p>
                  <w:pPr>
                    <w:pStyle w:val="EmptyCellLayoutStyle"/>
                    <w:spacing w:after="0" w:line="240" w:lineRule="auto"/>
                  </w:pPr>
                </w:p>
              </w:tc>
              <w:tc>
                <w:tcPr>
                  <w:tcW w:w="3538" w:type="dxa"/>
                </w:tcPr>
                <w:p>
                  <w:pPr>
                    <w:pStyle w:val="EmptyCellLayoutStyle"/>
                    <w:spacing w:after="0" w:line="240" w:lineRule="auto"/>
                  </w:pPr>
                </w:p>
              </w:tc>
              <w:tc>
                <w:tcPr>
                  <w:tcW w:w="2211"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42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44"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42"/>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