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434"/>
        <w:gridCol w:w="255"/>
        <w:gridCol w:w="60"/>
        <w:gridCol w:w="78"/>
        <w:gridCol w:w="174"/>
        <w:gridCol w:w="242"/>
        <w:gridCol w:w="13"/>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PES318</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SOFT SKILLS-I</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1</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3</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30968::Karishma Verma</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15    CA: 30    ETP: 55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5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911"/>
            </w:tblGrid>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Course Outcomes </w:t>
                  </w:r>
                  <w:r>
                    <w:rPr>
                      <w:rFonts w:ascii="Arial" w:hAnsi="Arial" w:eastAsia="Arial"/>
                      <w:color w:val="000000"/>
                      <w:sz w:val="20"/>
                    </w:rPr>
                    <w:t xml:space="preserve">:</w:t>
                  </w:r>
                  <w:r>
                    <w:rPr>
                      <w:rFonts w:ascii="Microsoft Sans Serif" w:hAnsi="Microsoft Sans Serif" w:eastAsia="Microsoft Sans Serif"/>
                      <w:color w:val="000000"/>
                      <w:sz w:val="19"/>
                    </w:rPr>
                    <w:t xml:space="preserve">Through this course students should be able to</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CO1 :: understand industry needs and develop professional ethics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CO2 :: practice communication skills to enhance interaction ability</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CO3 :: understand attitude and its application in career progression </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CO4 :: illustrate online branding to amplify presence in the industry</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CO5 :: evaluate skills, abilities, and interests to match the industrial expectations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CO6 :: apply idea generation techniques to present relevant content </w:t>
                  </w:r>
                </w:p>
              </w:tc>
            </w:tr>
          </w:tbl>
          <w:p>
            <w:pPr>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207"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2"/>
              <w:gridCol w:w="103"/>
            </w:tblGrid>
            <w:tr>
              <w:trPr>
                <w:trHeight w:val="21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SOFT SKILLS: KNOW YOURSELF AND KNOW THE WORLD</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DR. K. ALEX</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 Chand Publishing</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R-2</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2. PERSONALITY DEVELOPMENT AND SOFT SKILLS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BARUN K. MITRA</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OXFORD UNIVERSITY PRESS</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R-3</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ACE OF SOFT SKILLS: ATTITUDE, COMMUNICATION AND ETIQUETTE FOR SUCCESS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GOPALASWAMY RAMESH AND MAHADEVAN RAMESH</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PEARSON</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R-4</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SOFT SKILLS FOR EVERYONE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JEFF BUTTERFIELD</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Cengage India Private Limited</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175"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https://www.meltwater.com/en/blog/barriers-to-effective-communication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barriers to communication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https://conflictmanagement.org.uiowa.edu/pointers-active-listening</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Active Listening</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https://www.eajournals.org/wp-content/uploads/Strategies-for-developing-English- verbal-communication.pdf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strategies to develop English verbal communication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https://www.researchgate.net/publication/283630241_The_Hard_Work_of_Small_Talk _in_Ethnographic_Fieldwork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Hard Work of Small Talk in Ethnographic Fieldwork</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https://www.elsevier.com/connect/writing-an-effective-academic-cv</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writing an effective academic CV</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https://status.net/articles/best-self-introductions-scripts-templates-examples/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self-introduction </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https://www.researchgate.net/publication/359596183_How_to_Conduct_an_Effective_Interview_A_Guide_to_Interview_Design_in_Research_Study</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interview formats with interactive techniques </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https://www.academia.edu/8227574/A_complete_grooming_and_Corporate_etiquette_g uide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complete grooming and corporate etiquette guide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https://courses.lumenlearning.com/atd-epcc-introethics-1/chapter/professional-ethics/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professional ethics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https://www.mbauniverse.com/article/id/1744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how to prepare for group discussion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https://www.tutorialspoint.com/impromptu_speaking/impromptu_speaking_popbeans_t echnique.htm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POP BEANS technique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https://www.jstor.org/stable/23369142?seq=1</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SPELT Technique strategies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https://www.researchgate.net/publication/343908179_The_Importance_of_Soft_Skills_f or_the_Engineering</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Importance of Soft Skills for the Engineering</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https://www.academia.edu/8227574/A_complete_grooming_and_Corporate_etiquette_g uide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article on Grooming and Corporate Etiquette</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38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w:t>
                        </w: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Imbibing Soft Skills(introduction to soft skills and their significance, the importance of professional attitude, grooming, interpersonal communication, adaptability, time management, teamwork, introduction to the vision board)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introduces the curriculum to the students and discusses the importance of soft skills. The trainer also explains it during the placement procedure. The trainer informs the students on grooming essentials and the personality attributes required by the engineer, such as interpersonal, followed by the introduction of a vision board to assist them in realising their future objectives.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Students will be able to define soft skills and differentiate them from hard skills. They will also be able to categorize different types of soft skills relevant to their field Develop a personalized plan outlining strategies for improving specific soft skills you identify as important for your career path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 1 Zero lecture - Discussion on current affairs (10 min), the importance of soft skills and</w:t>
                        </w:r>
                        <w:r>
                          <w:rPr>
                            <w:rFonts w:ascii="Times New Roman" w:hAnsi="Times New Roman" w:eastAsia="Times New Roman"/>
                            <w:color w:val="000000"/>
                            <w:sz w:val="20"/>
                          </w:rPr>
                          <w:br/>
                          <w:t xml:space="preserve">course details (PPT) (15 min) open house discussion on traits an engineer needs (15 mins), the importance of grooming (5 mins), introduction to soft skills, interpersonal communication, adaptability, time management and teamwork, (15mins)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Examples of successful famous personalities (corporate personality, personalities from engineering background)</w:t>
                        </w: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Know yourself(understand self-evaluation via SWOC to design an action plan and create a SMART goal sheet)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RW-2</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teacher will delve into the art of self-evaluation, further helping them to assess strengths, weaknesses, and current skill levels.  This will involve identifying specific steps, timelines, and resources needed to do a SWOT analysis. </w:t>
                        </w:r>
                        <w:r>
                          <w:rPr>
                            <w:rFonts w:ascii="Times New Roman" w:hAnsi="Times New Roman" w:eastAsia="Times New Roman"/>
                            <w:color w:val="000000"/>
                            <w:sz w:val="20"/>
                          </w:rPr>
                          <w:br/>
                          <w:t xml:space="preserve">The teacher will explain the smart goal sheet, explain its importance, and evaluate it for them.  The student learns to craft a personalized SMART goal sheet that outlines your career aspirations and provides a roadmap for achieving them. The trainer will help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gain an understanding of their personality by analyzing their strengths, weaknesses, opportunities, and threats.   The students will also express their thoughts, and ideas, and learn self-expression and the ability to articulate thoughts with clarity through social conversation.</w:t>
                        </w:r>
                        <w:r>
                          <w:rPr>
                            <w:rFonts w:ascii="Times New Roman" w:hAnsi="Times New Roman" w:eastAsia="Times New Roman"/>
                            <w:color w:val="000000"/>
                            <w:sz w:val="20"/>
                          </w:rPr>
                          <w:br/>
                          <w:t xml:space="preserve">Knowledge about the goals of students will help them create a roadmap for the future.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L-2Discussion on current affairs (5), mins), PPT assisted lecture understanding and designing an action plan (20 mins), detailed discussion on SWOT analysis (30 minutes). </w:t>
                        </w:r>
                        <w:r>
                          <w:rPr>
                            <w:rFonts w:ascii="Times New Roman" w:hAnsi="Times New Roman" w:eastAsia="Times New Roman"/>
                            <w:color w:val="000000"/>
                            <w:sz w:val="20"/>
                          </w:rPr>
                          <w:br/>
                          <w:t xml:space="preserve">L-3 Discussion on current affairs (5), mins), PPT-assisted lecture on the importance of self-evaluation (20 mins), detailed discussion on SMART goals (30 minutes).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SWOT- goal-oriented, analysis based on personality,  </w:t>
                        </w: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Know yourself(understand self-evaluation via SWOC to design an action plan and create a SMART goal sheet)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RW-2</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teacher will delve into the art of self-evaluation, further helping them to assess strengths, weaknesses, and current skill levels.  This will involve identifying specific steps, timelines, and resources needed to do a SWOT analysis. </w:t>
                        </w:r>
                        <w:r>
                          <w:rPr>
                            <w:rFonts w:ascii="Times New Roman" w:hAnsi="Times New Roman" w:eastAsia="Times New Roman"/>
                            <w:color w:val="000000"/>
                            <w:sz w:val="20"/>
                          </w:rPr>
                          <w:br/>
                          <w:t xml:space="preserve">The teacher will explain the smart goal sheet, explain its importance, and evaluate it for them.  The student learns to craft a personalized SMART goal sheet that outlines your career aspirations and provides a roadmap for achieving them. The trainer will help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gain an understanding of their personality by analyzing their strengths, weaknesses, opportunities, and threats.   The students will also express their thoughts, and ideas, and learn self-expression and the ability to articulate thoughts with clarity through social conversation.</w:t>
                        </w:r>
                        <w:r>
                          <w:rPr>
                            <w:rFonts w:ascii="Times New Roman" w:hAnsi="Times New Roman" w:eastAsia="Times New Roman"/>
                            <w:color w:val="000000"/>
                            <w:sz w:val="20"/>
                          </w:rPr>
                          <w:br/>
                          <w:t xml:space="preserve">Knowledge about the goals of students will help them create a roadmap for the future.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L-2Discussion on current affairs (5), mins), PPT assisted lecture understanding and designing an action plan (20 mins), detailed discussion on SWOT analysis (30 minutes). </w:t>
                        </w:r>
                        <w:r>
                          <w:rPr>
                            <w:rFonts w:ascii="Times New Roman" w:hAnsi="Times New Roman" w:eastAsia="Times New Roman"/>
                            <w:color w:val="000000"/>
                            <w:sz w:val="20"/>
                          </w:rPr>
                          <w:br/>
                          <w:t xml:space="preserve">L-3 Discussion on current affairs (5), mins), PPT-assisted lecture on the importance of self-evaluation (20 mins), detailed discussion on SMART goals (30 minutes).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SWOT- goal-oriented, analysis based on personality,  </w:t>
                        </w: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 Individual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Communication Skills(introduction to communication skills, verbal communication, non-verbal communication, para-verbal communication, barriers to effective communication, techniques to overcome the barrier to communication, tips to improve communication, how to strike a social conversation, introduction to e-portfolio)</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RW-2</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t xml:space="preserve">RW-6</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RW-8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will discuss various communication barriers and will explain different types of communication - verbal, non-verbal, and para-verbal communication. The trainer will also explain the importance of active listening and speaking effectively throughout the</w:t>
                        </w:r>
                        <w:r>
                          <w:rPr>
                            <w:rFonts w:ascii="Times New Roman" w:hAnsi="Times New Roman" w:eastAsia="Times New Roman"/>
                            <w:color w:val="000000"/>
                            <w:sz w:val="20"/>
                          </w:rPr>
                          <w:br/>
                          <w:t xml:space="preserve">presentation. The trainer will discuss the art of striking a social conversation.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communication skills that will allow them to express their thoughts, ideas, and emotions clearly and effectively. This will help them develop skills to strike up a social conversation. </w:t>
                        </w:r>
                        <w:r>
                          <w:rPr>
                            <w:rFonts w:ascii="Times New Roman" w:hAnsi="Times New Roman" w:eastAsia="Times New Roman"/>
                            <w:color w:val="000000"/>
                            <w:sz w:val="20"/>
                          </w:rPr>
                          <w:br/>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L-5 Discussion on current affairs (5 mins), PPT assisted</w:t>
                        </w:r>
                        <w:r>
                          <w:rPr>
                            <w:rFonts w:ascii="Times New Roman" w:hAnsi="Times New Roman" w:eastAsia="Times New Roman"/>
                            <w:color w:val="000000"/>
                            <w:sz w:val="20"/>
                          </w:rPr>
                          <w:br/>
                          <w:t xml:space="preserve">lecture on the importance of verbal, non-verbal and para-verbal communication (15 mins), detailed discussion of barriers to communication with examples</w:t>
                        </w:r>
                        <w:r>
                          <w:rPr>
                            <w:rFonts w:ascii="Times New Roman" w:hAnsi="Times New Roman" w:eastAsia="Times New Roman"/>
                            <w:color w:val="000000"/>
                            <w:sz w:val="20"/>
                          </w:rPr>
                          <w:br/>
                          <w:t xml:space="preserve">(20</w:t>
                        </w:r>
                        <w:r>
                          <w:rPr>
                            <w:rFonts w:ascii="Times New Roman" w:hAnsi="Times New Roman" w:eastAsia="Times New Roman"/>
                            <w:color w:val="000000"/>
                            <w:sz w:val="20"/>
                          </w:rPr>
                          <w:br/>
                          <w:t xml:space="preserve">mins), techniques and tips to improve communication, and how to strike up a social conversation(15 minutes)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Simulating communication environment in class. Example: At a networking event, you approach someone and ask them an open-ended question about their work.</w:t>
                        </w: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 Group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Discussion(introduction to group discussion, types of group discussion topics, dos and don'ts of a group discussion, idea generation techniques- SPELT, KWA, brainstorming, POPBEANS, VAP, mock group discussion)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RW-10</w:t>
                        </w:r>
                        <w:r>
                          <w:rPr>
                            <w:rFonts w:ascii="Times New Roman" w:hAnsi="Times New Roman" w:eastAsia="Times New Roman"/>
                            <w:color w:val="000000"/>
                            <w:sz w:val="20"/>
                          </w:rPr>
                          <w:br/>
                          <w:t xml:space="preserve">RW-11</w:t>
                        </w:r>
                        <w:r>
                          <w:rPr>
                            <w:rFonts w:ascii="Times New Roman" w:hAnsi="Times New Roman" w:eastAsia="Times New Roman"/>
                            <w:color w:val="000000"/>
                            <w:sz w:val="20"/>
                          </w:rPr>
                          <w:br/>
                          <w:t xml:space="preserve">RW-12</w:t>
                        </w:r>
                        <w:r>
                          <w:rPr>
                            <w:rFonts w:ascii="Times New Roman" w:hAnsi="Times New Roman" w:eastAsia="Times New Roman"/>
                            <w:color w:val="000000"/>
                            <w:sz w:val="20"/>
                          </w:rPr>
                          <w:br/>
                          <w:t xml:space="preserve">RW-14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will introduce group discussion, types of group discussion topics and the difference between group discussion and debate to the students. The trainer will also brief the students about the significance of group discussion, the dos and don’ts of group discussions and idea generation techniques- Keyword Analysis (KWA), POPBEANS, SPELT technique, and VAP technique.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 differentiate between group discussion and debate. The students will also learn different types of group discussion topics. They will learn to implement different types of idea generation techniques- Keyword Analysis (KWA), POPBEANS, SPELT technique, and VAP technique.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L8- Discussion on current affairs (5 mins), discussion on idea generation techniques and do's and don'ts of group discussion (40 mins), mock practice, and discussion on types of group discussion (10 mins).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Discussion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Personal branding(introduction to self-branding, types of self-branding, offline branding (CV building- overview about the elements of creating an effective CV), online branding (GitHub, LinkedIn, overview of video CV as per the industry practices), understanding the process of skill mapping as per job roles)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will discuss and introduce the concept of self-branding in class and guide them on it (GitHub, LinkedIn). Additionally, explanation and discussion on video CV. </w:t>
                        </w:r>
                        <w:r>
                          <w:rPr>
                            <w:rFonts w:ascii="Times New Roman" w:hAnsi="Times New Roman" w:eastAsia="Times New Roman"/>
                            <w:color w:val="000000"/>
                            <w:sz w:val="20"/>
                          </w:rPr>
                          <w:br/>
                          <w:t xml:space="preserve">How to create an industry-ready CV in line with the JD (job description). The student will be taught various CV building tools further outlining the significance of responsibilities and skills of the student.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Students will be able to do their self-branding and access a variety of platforms for doing so. </w:t>
                        </w:r>
                        <w:r>
                          <w:rPr>
                            <w:rFonts w:ascii="Times New Roman" w:hAnsi="Times New Roman" w:eastAsia="Times New Roman"/>
                            <w:color w:val="000000"/>
                            <w:sz w:val="20"/>
                          </w:rPr>
                          <w:br/>
                          <w:t xml:space="preserve">students will also learn how to draft a resume to the specifications of different employment positions and businesses.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L10- Discussion on current affairs (5mins), discussion of the concept of self-branding (GitHub, LinkedIn), explanation and discussion on crafting a compelling video CV (15mins), a demo of video CV (15 mins). </w:t>
                        </w:r>
                        <w:r>
                          <w:rPr>
                            <w:rFonts w:ascii="Times New Roman" w:hAnsi="Times New Roman" w:eastAsia="Times New Roman"/>
                            <w:color w:val="000000"/>
                            <w:sz w:val="20"/>
                          </w:rPr>
                          <w:br/>
                          <w:t xml:space="preserve">demo of a sample CV to be shown in class along with an explanation for the content placement and content building. (20mins)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Interaction skills(self-introductory conversation, developing critical thinking for academic discovery, navigating interview formats with interactive techniques (basics questions- introducing oneself, professional goals, justifying strengths, etc.), building trust: the power of face-to-face meetings, small talk for networking, interactive role plays)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RW-4</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RW-8</w:t>
                        </w:r>
                        <w:r>
                          <w:rPr>
                            <w:rFonts w:ascii="Times New Roman" w:hAnsi="Times New Roman" w:eastAsia="Times New Roman"/>
                            <w:color w:val="000000"/>
                            <w:sz w:val="20"/>
                          </w:rPr>
                          <w:br/>
                          <w:t xml:space="preserve">RW-9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will equip students with the essential skills to confidently navigate professional interactions. The trainer will help craft a strong personal presentation and understanding of different interaction formats. It will emphasize the importance of creating a positive first impression through effective communication and interpersonal skills. </w:t>
                        </w:r>
                        <w:r>
                          <w:rPr>
                            <w:rFonts w:ascii="Times New Roman" w:hAnsi="Times New Roman" w:eastAsia="Times New Roman"/>
                            <w:color w:val="000000"/>
                            <w:sz w:val="20"/>
                          </w:rPr>
                          <w:br/>
                          <w:t xml:space="preserve">The trainer will equip students with effective strategies for crafting compelling responses, building rapport, and understanding the significance of</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also develop strategies for managing interactions in both traditional and virtual settings, including understanding the nuances of online communication.</w:t>
                        </w:r>
                        <w:r>
                          <w:rPr>
                            <w:rFonts w:ascii="Times New Roman" w:hAnsi="Times New Roman" w:eastAsia="Times New Roman"/>
                            <w:color w:val="000000"/>
                            <w:sz w:val="20"/>
                          </w:rPr>
                          <w:br/>
                          <w:t xml:space="preserve">Students will also develop strategies for managing interactions in both traditional and virtual settings, including understanding the nuances of online communication.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L:12 Discussion on</w:t>
                        </w:r>
                        <w:r>
                          <w:rPr>
                            <w:rFonts w:ascii="Times New Roman" w:hAnsi="Times New Roman" w:eastAsia="Times New Roman"/>
                            <w:color w:val="000000"/>
                            <w:sz w:val="20"/>
                          </w:rPr>
                          <w:br/>
                          <w:t xml:space="preserve">current affairs (10 mins), self-introductory conversation (20 mins), developing critical thinking for academic discovery (10 mins). navigating interview formats with interactive techniques (basics questions- introducing oneself, professional goals, justifying strengths, etc.) (20mins)</w:t>
                        </w:r>
                        <w:r>
                          <w:rPr>
                            <w:rFonts w:ascii="Times New Roman" w:hAnsi="Times New Roman" w:eastAsia="Times New Roman"/>
                            <w:color w:val="000000"/>
                            <w:sz w:val="20"/>
                          </w:rPr>
                          <w:br/>
                          <w:t xml:space="preserve">L:13 Discussion on</w:t>
                        </w:r>
                        <w:r>
                          <w:rPr>
                            <w:rFonts w:ascii="Times New Roman" w:hAnsi="Times New Roman" w:eastAsia="Times New Roman"/>
                            <w:color w:val="000000"/>
                            <w:sz w:val="20"/>
                          </w:rPr>
                          <w:br/>
                          <w:t xml:space="preserve">current affairs (5 mins),  interview answering techniques, interview etiquette for online interviews (20 mins) understanding the importance of KYC and face-to-face interviews.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Interaction skills(self-introductory conversation, developing critical thinking for academic discovery, navigating interview formats with interactive techniques (basics questions- introducing oneself, professional goals, justifying strengths, etc.), building trust: the power of face-to-face meetings, small talk for networking, interactive role plays)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t xml:space="preserve">R-2</w:t>
                        </w:r>
                        <w:r>
                          <w:rPr>
                            <w:rFonts w:ascii="Times New Roman" w:hAnsi="Times New Roman" w:eastAsia="Times New Roman"/>
                            <w:color w:val="000000"/>
                            <w:sz w:val="20"/>
                          </w:rPr>
                          <w:br/>
                          <w:t xml:space="preserve">R-3</w:t>
                        </w:r>
                        <w:r>
                          <w:rPr>
                            <w:rFonts w:ascii="Times New Roman" w:hAnsi="Times New Roman" w:eastAsia="Times New Roman"/>
                            <w:color w:val="000000"/>
                            <w:sz w:val="20"/>
                          </w:rPr>
                          <w:br/>
                          <w:t xml:space="preserve">R-4</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RW-4</w:t>
                        </w:r>
                        <w:r>
                          <w:rPr>
                            <w:rFonts w:ascii="Times New Roman" w:hAnsi="Times New Roman" w:eastAsia="Times New Roman"/>
                            <w:color w:val="000000"/>
                            <w:sz w:val="20"/>
                          </w:rPr>
                          <w:br/>
                          <w:t xml:space="preserve">RW-7</w:t>
                        </w:r>
                        <w:r>
                          <w:rPr>
                            <w:rFonts w:ascii="Times New Roman" w:hAnsi="Times New Roman" w:eastAsia="Times New Roman"/>
                            <w:color w:val="000000"/>
                            <w:sz w:val="20"/>
                          </w:rPr>
                          <w:br/>
                          <w:t xml:space="preserve">RW-8</w:t>
                        </w:r>
                        <w:r>
                          <w:rPr>
                            <w:rFonts w:ascii="Times New Roman" w:hAnsi="Times New Roman" w:eastAsia="Times New Roman"/>
                            <w:color w:val="000000"/>
                            <w:sz w:val="20"/>
                          </w:rPr>
                          <w:br/>
                          <w:t xml:space="preserve">RW-9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will equip students with the essential skills to confidently navigate professional interactions. The trainer will help craft a strong personal presentation and understanding of different interaction formats. It will emphasize the importance of creating a positive first impression through effective communication and interpersonal skills. </w:t>
                        </w:r>
                        <w:r>
                          <w:rPr>
                            <w:rFonts w:ascii="Times New Roman" w:hAnsi="Times New Roman" w:eastAsia="Times New Roman"/>
                            <w:color w:val="000000"/>
                            <w:sz w:val="20"/>
                          </w:rPr>
                          <w:br/>
                          <w:t xml:space="preserve">The trainer will equip students with effective strategies for crafting compelling responses, building rapport, and understanding the significance of</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also develop strategies for managing interactions in both traditional and virtual settings, including understanding the nuances of online communication.</w:t>
                        </w:r>
                        <w:r>
                          <w:rPr>
                            <w:rFonts w:ascii="Times New Roman" w:hAnsi="Times New Roman" w:eastAsia="Times New Roman"/>
                            <w:color w:val="000000"/>
                            <w:sz w:val="20"/>
                          </w:rPr>
                          <w:br/>
                          <w:t xml:space="preserve">Students will also develop strategies for managing interactions in both traditional and virtual settings, including understanding the nuances of online communication.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L:12 Discussion on</w:t>
                        </w:r>
                        <w:r>
                          <w:rPr>
                            <w:rFonts w:ascii="Times New Roman" w:hAnsi="Times New Roman" w:eastAsia="Times New Roman"/>
                            <w:color w:val="000000"/>
                            <w:sz w:val="20"/>
                          </w:rPr>
                          <w:br/>
                          <w:t xml:space="preserve">current affairs (10 mins), self-introductory conversation (20 mins), developing critical thinking for academic discovery (10 mins). navigating interview formats with interactive techniques (basics questions- introducing oneself, professional goals, justifying strengths, etc.) (20mins)</w:t>
                        </w:r>
                        <w:r>
                          <w:rPr>
                            <w:rFonts w:ascii="Times New Roman" w:hAnsi="Times New Roman" w:eastAsia="Times New Roman"/>
                            <w:color w:val="000000"/>
                            <w:sz w:val="20"/>
                          </w:rPr>
                          <w:br/>
                          <w:t xml:space="preserve">L:13 Discussion on</w:t>
                        </w:r>
                        <w:r>
                          <w:rPr>
                            <w:rFonts w:ascii="Times New Roman" w:hAnsi="Times New Roman" w:eastAsia="Times New Roman"/>
                            <w:color w:val="000000"/>
                            <w:sz w:val="20"/>
                          </w:rPr>
                          <w:br/>
                          <w:t xml:space="preserve">current affairs (5 mins),  interview answering techniques, interview etiquette for online interviews (20 mins) understanding the importance of KYC and face-to-face interviews.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Interview</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420"/>
              <w:gridCol w:w="489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is:A0404 (4 out of 4)</w:t>
                        </w:r>
                      </w:p>
                    </w:tc>
                  </w:tr>
                </w:tbl>
                <w:p>
                  <w:pPr>
                    <w:spacing w:after="0" w:line="240" w:lineRule="auto"/>
                  </w:pPr>
                </w:p>
              </w:tc>
              <w:tc>
                <w:tcPr>
                  <w:tcW w:w="420" w:type="dxa"/>
                  <w:hMerge w:val="continue"/>
                </w:tcPr>
                <w:p>
                  <w:pPr>
                    <w:pStyle w:val="EmptyCellLayoutStyle"/>
                    <w:spacing w:after="0" w:line="240" w:lineRule="auto"/>
                  </w:pPr>
                </w:p>
              </w:tc>
              <w:tc>
                <w:tcPr>
                  <w:tcW w:w="489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Interview</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CO5, CO6</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 Group</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CO3</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Discussion</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CO4</w:t>
                        </w: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 Individual</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w:t>
                        </w:r>
                      </w:p>
                    </w:tc>
                  </w:tr>
                </w:tbl>
                <w:p>
                  <w:pPr>
                    <w:spacing w:after="0" w:line="240" w:lineRule="auto"/>
                  </w:pPr>
                </w:p>
              </w:tc>
              <w:tc>
                <w:tcPr>
                  <w:tcW w:w="5371" w:type="dxa"/>
                  <w:hMerge w:val="continue"/>
                </w:tcPr>
                <w:p>
                  <w:pPr>
                    <w:pStyle w:val="EmptyCellLayoutStyle"/>
                    <w:spacing w:after="0" w:line="240" w:lineRule="auto"/>
                  </w:pPr>
                </w:p>
              </w:tc>
              <w:tc>
                <w:tcPr>
                  <w:tcW w:w="420" w:type="dxa"/>
                  <w:hMerge w:val="continue"/>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8"/>
              <w:gridCol w:w="8820"/>
              <w:gridCol w:w="5750"/>
              <w:gridCol w:w="434"/>
            </w:tblGrid>
            <w:tr>
              <w:trPr>
                <w:trHeight w:val="160"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148" w:type="dxa"/>
                </w:tcPr>
                <w:p>
                  <w:pPr>
                    <w:pStyle w:val="EmptyCellLayoutStyle"/>
                    <w:spacing w:after="0" w:line="240" w:lineRule="auto"/>
                  </w:pPr>
                </w:p>
              </w:tc>
              <w:tc>
                <w:tcPr>
                  <w:tcW w:w="8820" w:type="dxa"/>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c>
                <w:tcPr>
                  <w:tcW w:w="14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Discussion</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help students their enhance group discussion skills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trainer will assemble a group of ten students and assign them a topic for discussion. After providing the topic, the trainer will allow the students two minutes to gather their thoughts. Subsequently, the discussion will commence, and the students will have a total of ten minutes to engage in the discussion on the given topic. The parameters for assessment:</w:t>
                        </w:r>
                        <w:r>
                          <w:rPr>
                            <w:rFonts w:ascii="Times New Roman" w:hAnsi="Times New Roman" w:eastAsia="Times New Roman"/>
                            <w:color w:val="000000"/>
                            <w:sz w:val="20"/>
                          </w:rPr>
                          <w:br/>
                          <w:t xml:space="preserve">Understanding of the topic and Content Presentation (10), Language 10), Usage of GD vocab (5) GD etiquette (5)</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8 / 9</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Interview</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assess interaction skills is to evaluate a candidate's ability to effectively communicate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Each student will be called individually by the trainer for their interview assessment. During this one-on-one interview, the trainer will ask a series of interview questions. Each interview is expected to last for a minimum of 10 minutes. Evaluation parameters- Comprehending the Questions and formulating answers (10), Justification of answers (5) CV (5), Grooming (5), Language Proficiency (5)</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13 / 14</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 Group</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assess social skills, language proficiency and fluency in everyday communication.</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This activity involves a group task where students will be divided into groups of six members. Each group will receive topics related to social and workplace communication, Tech related topics. They will have two minutes to ponder and gather their thoughts on the given topics.</w:t>
                        </w:r>
                        <w:r>
                          <w:rPr>
                            <w:rFonts w:ascii="Times New Roman" w:hAnsi="Times New Roman" w:eastAsia="Times New Roman"/>
                            <w:color w:val="000000"/>
                            <w:sz w:val="20"/>
                          </w:rPr>
                          <w:br/>
                          <w:t xml:space="preserve">Subsequently, the students will engage in a discussion for a minimum of six minutes to explore and exchange ideas on the assigned subjects. Evaluation would be done on</w:t>
                        </w:r>
                        <w:r>
                          <w:rPr>
                            <w:rFonts w:ascii="Times New Roman" w:hAnsi="Times New Roman" w:eastAsia="Times New Roman"/>
                            <w:color w:val="000000"/>
                            <w:sz w:val="20"/>
                          </w:rPr>
                          <w:br/>
                          <w:t xml:space="preserve">Organization of content (10), Language proficiency (10), Team dynamics (5), Grooming (5)</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 / 6</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 Individual</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help students to develop a deeper understanding of their own abilities. Knowledge about the goal of student which will help them create a roadmap for future.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are required to give an individual oral presentation on the topic of their goal. Each student will have a two-minute time slot to present their insights on the subject. The parameters of evaluation are -Organization of Content (10), Language Proficiency (10), Body language (5), Grooming (5)</w:t>
                        </w:r>
                        <w:r>
                          <w:rPr>
                            <w:rFonts w:ascii="Times New Roman" w:hAnsi="Times New Roman" w:eastAsia="Times New Roman"/>
                            <w:color w:val="000000"/>
                            <w:sz w:val="20"/>
                          </w:rPr>
                          <w:br/>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25</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 / 4</w:t>
                        </w:r>
                      </w:p>
                    </w:tc>
                  </w:tr>
                </w:tbl>
                <w:p>
                  <w:pPr>
                    <w:spacing w:after="0" w:line="240" w:lineRule="auto"/>
                  </w:pPr>
                </w:p>
              </w:tc>
              <w:tc>
                <w:tcPr>
                  <w:tcW w:w="8820" w:type="dxa"/>
                  <w:hMerge w:val="continue"/>
                </w:tcPr>
                <w:p>
                  <w:pPr>
                    <w:pStyle w:val="EmptyCellLayoutStyle"/>
                    <w:spacing w:after="0" w:line="240" w:lineRule="auto"/>
                  </w:pPr>
                </w:p>
              </w:tc>
              <w:tc>
                <w:tcPr>
                  <w:tcW w:w="5750"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642"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8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50"/>
              <w:gridCol w:w="14310"/>
              <w:gridCol w:w="239"/>
              <w:gridCol w:w="59"/>
            </w:tblGrid>
            <w:tr>
              <w:trPr>
                <w:trHeight w:val="195" w:hRule="atLeast"/>
              </w:trPr>
              <w:tc>
                <w:tcPr>
                  <w:tcW w:w="150" w:type="dxa"/>
                </w:tcPr>
                <w:p>
                  <w:pPr>
                    <w:pStyle w:val="EmptyCellLayoutStyle"/>
                    <w:spacing w:after="0" w:line="240" w:lineRule="auto"/>
                  </w:pPr>
                </w:p>
              </w:tc>
              <w:tc>
                <w:tcPr>
                  <w:tcW w:w="14310" w:type="dxa"/>
                </w:tcPr>
                <w:p>
                  <w:pPr>
                    <w:pStyle w:val="EmptyCellLayoutStyle"/>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r>
              <w:trPr>
                <w:trHeight w:val="411" w:hRule="atLeast"/>
              </w:trPr>
              <w:tc>
                <w:tcPr>
                  <w:tcW w:w="150" w:type="dxa"/>
                </w:tcPr>
                <w:p>
                  <w:pPr>
                    <w:pStyle w:val="EmptyCellLayoutStyle"/>
                    <w:spacing w:after="0" w:line="240" w:lineRule="auto"/>
                  </w:pPr>
                </w:p>
              </w:tc>
              <w:tc>
                <w:tcPr>
                  <w:tcW w:w="14310" w:type="dxa"/>
                </w:tcPr>
                <w:tbl>
                  <w:tblPr>
                    <w:tblCellMar>
                      <w:top w:w="0" w:type="dxa"/>
                      <w:left w:w="0" w:type="dxa"/>
                      <w:bottom w:w="0" w:type="dxa"/>
                      <w:right w:w="0" w:type="dxa"/>
                    </w:tblCellMar>
                  </w:tblPr>
                  <w:tblGrid>
                    <w:gridCol w:w="14310"/>
                  </w:tblGrid>
                  <w:tr>
                    <w:trPr>
                      <w:trHeight w:val="333" w:hRule="atLeast"/>
                    </w:trPr>
                    <w:tc>
                      <w:tcPr>
                        <w:tcW w:w="143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List of suggested topics for term paper[at least 15] (Student to spend about 15 hrs on any one specified term paper)</w:t>
                        </w:r>
                      </w:p>
                    </w:tc>
                  </w:tr>
                </w:tbl>
                <w:p>
                  <w:pPr>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r>
              <w:trPr>
                <w:trHeight w:val="202" w:hRule="atLeast"/>
              </w:trPr>
              <w:tc>
                <w:tcPr>
                  <w:tcW w:w="150" w:type="dxa"/>
                </w:tcPr>
                <w:p>
                  <w:pPr>
                    <w:pStyle w:val="EmptyCellLayoutStyle"/>
                    <w:spacing w:after="0" w:line="240" w:lineRule="auto"/>
                  </w:pPr>
                </w:p>
              </w:tc>
              <w:tc>
                <w:tcPr>
                  <w:tcW w:w="14310" w:type="dxa"/>
                </w:tcPr>
                <w:p>
                  <w:pPr>
                    <w:pStyle w:val="EmptyCellLayoutStyle"/>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r>
              <w:trPr/>
              <w:tc>
                <w:tcPr>
                  <w:tcW w:w="150" w:type="dxa"/>
                </w:tcPr>
                <w:p>
                  <w:pPr>
                    <w:pStyle w:val="EmptyCellLayoutStyle"/>
                    <w:spacing w:after="0" w:line="240" w:lineRule="auto"/>
                  </w:pPr>
                </w:p>
              </w:tc>
              <w:tc>
                <w:tcPr>
                  <w:tcW w:w="1431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37"/>
                    <w:gridCol w:w="13612"/>
                  </w:tblGrid>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Sr. No.</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Topic</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NA</w:t>
                        </w:r>
                      </w:p>
                    </w:tc>
                  </w:tr>
                </w:tbl>
                <w:p>
                  <w:pPr>
                    <w:spacing w:after="0" w:line="240" w:lineRule="auto"/>
                  </w:pPr>
                </w:p>
              </w:tc>
              <w:tc>
                <w:tcPr>
                  <w:tcW w:w="239" w:type="dxa"/>
                  <w:hMerge w:val="continue"/>
                </w:tcPr>
                <w:p>
                  <w:pPr>
                    <w:pStyle w:val="EmptyCellLayoutStyle"/>
                    <w:spacing w:after="0" w:line="240" w:lineRule="auto"/>
                  </w:pPr>
                </w:p>
              </w:tc>
              <w:tc>
                <w:tcPr>
                  <w:tcW w:w="59" w:type="dxa"/>
                </w:tcPr>
                <w:p>
                  <w:pPr>
                    <w:pStyle w:val="EmptyCellLayoutStyle"/>
                    <w:spacing w:after="0" w:line="240" w:lineRule="auto"/>
                  </w:pPr>
                </w:p>
              </w:tc>
            </w:tr>
            <w:tr>
              <w:trPr>
                <w:trHeight w:val="91" w:hRule="atLeast"/>
              </w:trPr>
              <w:tc>
                <w:tcPr>
                  <w:tcW w:w="150" w:type="dxa"/>
                </w:tcPr>
                <w:p>
                  <w:pPr>
                    <w:pStyle w:val="EmptyCellLayoutStyle"/>
                    <w:spacing w:after="0" w:line="240" w:lineRule="auto"/>
                  </w:pPr>
                </w:p>
              </w:tc>
              <w:tc>
                <w:tcPr>
                  <w:tcW w:w="14310" w:type="dxa"/>
                </w:tcPr>
                <w:p>
                  <w:pPr>
                    <w:pStyle w:val="EmptyCellLayoutStyle"/>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8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80"/>
              <w:gridCol w:w="12915"/>
              <w:gridCol w:w="2084"/>
              <w:gridCol w:w="405"/>
            </w:tblGrid>
            <w:tr>
              <w:trPr>
                <w:trHeight w:val="315" w:hRule="atLeast"/>
              </w:trPr>
              <w:tc>
                <w:tcPr>
                  <w:tcW w:w="180" w:type="dxa"/>
                </w:tcPr>
                <w:p>
                  <w:pPr>
                    <w:pStyle w:val="EmptyCellLayoutStyle"/>
                    <w:spacing w:after="0" w:line="240" w:lineRule="auto"/>
                  </w:pPr>
                </w:p>
              </w:tc>
              <w:tc>
                <w:tcPr>
                  <w:tcW w:w="12915" w:type="dxa"/>
                </w:tcPr>
                <w:p>
                  <w:pPr>
                    <w:pStyle w:val="EmptyCellLayoutStyle"/>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rHeight w:val="425" w:hRule="atLeast"/>
              </w:trPr>
              <w:tc>
                <w:tcPr>
                  <w:tcW w:w="180" w:type="dxa"/>
                </w:tcPr>
                <w:p>
                  <w:pPr>
                    <w:pStyle w:val="EmptyCellLayoutStyle"/>
                    <w:spacing w:after="0" w:line="240" w:lineRule="auto"/>
                  </w:pPr>
                </w:p>
              </w:tc>
              <w:tc>
                <w:tcPr>
                  <w:tcW w:w="12915" w:type="dxa"/>
                </w:tcPr>
                <w:tbl>
                  <w:tblPr>
                    <w:tblCellMar>
                      <w:top w:w="0" w:type="dxa"/>
                      <w:left w:w="0" w:type="dxa"/>
                      <w:bottom w:w="0" w:type="dxa"/>
                      <w:right w:w="0" w:type="dxa"/>
                    </w:tblCellMar>
                  </w:tblPr>
                  <w:tblGrid>
                    <w:gridCol w:w="12915"/>
                  </w:tblGrid>
                  <w:tr>
                    <w:trPr>
                      <w:trHeight w:val="347" w:hRule="atLeast"/>
                    </w:trPr>
                    <w:tc>
                      <w:tcPr>
                        <w:tcW w:w="1291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Plan for Tutorial: (Please do not use these time slots for syllabus coverage)</w:t>
                        </w:r>
                      </w:p>
                    </w:tc>
                  </w:tr>
                </w:tbl>
                <w:p>
                  <w:pPr>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rHeight w:val="100" w:hRule="atLeast"/>
              </w:trPr>
              <w:tc>
                <w:tcPr>
                  <w:tcW w:w="180" w:type="dxa"/>
                </w:tcPr>
                <w:p>
                  <w:pPr>
                    <w:pStyle w:val="EmptyCellLayoutStyle"/>
                    <w:spacing w:after="0" w:line="240" w:lineRule="auto"/>
                  </w:pPr>
                </w:p>
              </w:tc>
              <w:tc>
                <w:tcPr>
                  <w:tcW w:w="12915" w:type="dxa"/>
                </w:tcPr>
                <w:p>
                  <w:pPr>
                    <w:pStyle w:val="EmptyCellLayoutStyle"/>
                    <w:spacing w:after="0" w:line="240" w:lineRule="auto"/>
                  </w:pPr>
                </w:p>
              </w:tc>
              <w:tc>
                <w:tcPr>
                  <w:tcW w:w="2084" w:type="dxa"/>
                </w:tcPr>
                <w:p>
                  <w:pPr>
                    <w:pStyle w:val="EmptyCellLayoutStyle"/>
                    <w:spacing w:after="0" w:line="240" w:lineRule="auto"/>
                  </w:pPr>
                </w:p>
              </w:tc>
              <w:tc>
                <w:tcPr>
                  <w:tcW w:w="405" w:type="dxa"/>
                </w:tcPr>
                <w:p>
                  <w:pPr>
                    <w:pStyle w:val="EmptyCellLayoutStyle"/>
                    <w:spacing w:after="0" w:line="240" w:lineRule="auto"/>
                  </w:pPr>
                </w:p>
              </w:tc>
            </w:tr>
            <w:tr>
              <w:trPr/>
              <w:tc>
                <w:tcPr>
                  <w:tcW w:w="180" w:type="dxa"/>
                </w:tcPr>
                <w:p>
                  <w:pPr>
                    <w:pStyle w:val="EmptyCellLayoutStyle"/>
                    <w:spacing w:after="0" w:line="240" w:lineRule="auto"/>
                  </w:pPr>
                </w:p>
              </w:tc>
              <w:tc>
                <w:tcPr>
                  <w:tcW w:w="129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420"/>
                    <w:gridCol w:w="6064"/>
                    <w:gridCol w:w="6514"/>
                  </w:tblGrid>
                  <w:tr>
                    <w:trPr>
                      <w:trHeight w:val="507"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Tutorial No.</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Lecture Topic</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Type of pedagogical tool(s) planned</w:t>
                        </w:r>
                        <w:r>
                          <w:rPr>
                            <w:rFonts w:ascii="Times New Roman" w:hAnsi="Times New Roman" w:eastAsia="Times New Roman"/>
                            <w:b/>
                            <w:color w:val="000000"/>
                            <w:sz w:val="20"/>
                          </w:rPr>
                          <w:br/>
                          <w:t xml:space="preserve">(case analysis,problem solving test,role play,business game etc)</w:t>
                        </w:r>
                      </w:p>
                    </w:tc>
                  </w:tr>
                  <w:tr>
                    <w:trPr>
                      <w:trHeight w:val="282" w:hRule="atLeast"/>
                    </w:trPr>
                    <w:tc>
                      <w:tcPr>
                        <w:tcW w:w="2420"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064"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514"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vision board creation and presentations (40 mins), feedback ( 15mins).Trainer to refer tutorial sheet 1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white board</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vision board creation and presentations (40 mins), feedback ( 15mins).Trainer to refer tutorial sheet 1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white board</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SWOC analysis and presentations(40 mins), feedback ( 15mins). Trainer to refer tutorial sheet 3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SWOC analysis and presentations(40 mins), feedback ( 15mins). Trainer to refer tutorial sheet 3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Tutorial5</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SMART goal sheet and presentations(40 mins), feedback ( 15mins). Trainer to refer tutorial sheet 5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Tutorial6</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SMART goal sheet and presentations(40 mins), feedback ( 15mins). Trainer to refer tutorial sheet 5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Tutorial7</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1 </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Individual</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Tutorial8</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1</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Presentation Individual</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Tutorial9</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oral presentations for daily life based topics (40 mins), feedback ( 15mins). Trainer to refer tutorial sheet 9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Oral 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Tutorial10</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oral presentations for daily life based topics (40 mins), feedback ( 15mins). Trainer to refer tutorial sheet 9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Oral 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2</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2</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Presentations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 </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PPTs, videos, white board</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 </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PPTs, videos, white board</w:t>
                        </w:r>
                      </w:p>
                    </w:tc>
                  </w:tr>
                  <w:tr>
                    <w:trPr>
                      <w:trHeight w:val="282" w:hRule="atLeast"/>
                    </w:trPr>
                    <w:tc>
                      <w:tcPr>
                        <w:tcW w:w="2420"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4"/>
                          </w:rPr>
                          <w:t xml:space="preserve">After Mid-Term</w:t>
                        </w:r>
                      </w:p>
                    </w:tc>
                    <w:tc>
                      <w:tcPr>
                        <w:tcW w:w="6064"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6514"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Tutorial15</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mock group discussion (40 mins), feedback ( 15mins). Trainer to refer tutorial sheet 15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Mock group discussions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Tutorial16</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Discussion on current affairs (5 mins) mock group discussion (40 mins), feedback ( 15mins). Trainer to refer tutorial sheet 15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Mock group discussions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Tutorial17</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3</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Discussions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Tutorial18</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3</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 Discussions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Tutorial19</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Activity on Personal branding planning via CV designing  (40 mins), feedback ( 15mins). Trainer to refer tutorial sheet 19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BYOD activity</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Tutorial20</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Discussion on current affairs (5 mins) Activity on online personal branding planning and LinkedIn profile creation (40 mins), feedback ( 15mins). Trainer to refer tutorial sheet LinkedIn module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BYOD activity</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Tutorial21</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role plays on interaction skills (40 mins), feedback ( 15mins). Trainer to refer tutorial sheet 21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Role Playing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Tutorial22</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Discussion on current affairs (5 mins) role plays on interaction skills (40 mins), feedback ( 15mins). Trainer to refer tutorial sheet 21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Role Playing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Tutorial23</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role plays on interaction skills in professional environment (40 mins), feedback ( 15mins). Trainer to refer tutorial sheet 23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Role Playing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Tutorial24</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Discussion on current affairs (5 mins) role plays on interaction skills in professional environment (40 mins), feedback ( 15mins). Trainer to refer tutorial sheet 23 for the activity.</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Role Playing</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Tutorial25</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4</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Mock Interactions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Tutorial26</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Academic task 4</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Mock Interactions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Tutorial27</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 </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Activities</w:t>
                        </w:r>
                      </w:p>
                    </w:tc>
                  </w:tr>
                  <w:tr>
                    <w:trPr>
                      <w:trHeight w:val="282" w:hRule="atLeast"/>
                    </w:trPr>
                    <w:tc>
                      <w:tcPr>
                        <w:tcW w:w="242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Tutorial28</w:t>
                        </w:r>
                      </w:p>
                    </w:tc>
                    <w:tc>
                      <w:tcPr>
                        <w:tcW w:w="606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 </w:t>
                        </w:r>
                      </w:p>
                    </w:tc>
                    <w:tc>
                      <w:tcPr>
                        <w:tcW w:w="6514"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Activities</w:t>
                        </w:r>
                      </w:p>
                    </w:tc>
                  </w:tr>
                </w:tbl>
                <w:p>
                  <w:pPr>
                    <w:spacing w:after="0" w:line="240" w:lineRule="auto"/>
                  </w:pPr>
                </w:p>
              </w:tc>
              <w:tc>
                <w:tcPr>
                  <w:tcW w:w="2084" w:type="dxa"/>
                  <w:hMerge w:val="continue"/>
                </w:tcPr>
                <w:p>
                  <w:pPr>
                    <w:pStyle w:val="EmptyCellLayoutStyle"/>
                    <w:spacing w:after="0" w:line="240" w:lineRule="auto"/>
                  </w:pPr>
                </w:p>
              </w:tc>
              <w:tc>
                <w:tcPr>
                  <w:tcW w:w="405"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13"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26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13"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58"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56"/>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56"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56"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56"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