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MARKETING SERVICES RETAINER AGREEMENT</w:t>
      </w:r>
    </w:p>
    <w:p>
      <w:pPr>
        <w:spacing w:after="120"/>
      </w:pPr>
      <w:r>
        <w:rPr>
          <w:b w:val="0"/>
          <w:sz w:val="22"/>
        </w:rPr>
        <w:t>This Marketing Services Retainer Agreement is entered into between Vantage Creative Agency ("Agency") and the Client identified below.</w:t>
      </w:r>
    </w:p>
    <w:p>
      <w:r>
        <w:rPr>
          <w:b/>
          <w:sz w:val="24"/>
        </w:rPr>
        <w:t>1. Retainer Term</w:t>
      </w:r>
    </w:p>
    <w:p>
      <w:pPr>
        <w:spacing w:after="120"/>
      </w:pPr>
      <w:r>
        <w:rPr>
          <w:b w:val="0"/>
          <w:sz w:val="22"/>
        </w:rPr>
        <w:t>This Agreement commences on the Effective Date and continues for twelve (12) months, automatically renewing for successive twelve (12) month periods unless either party provides written notice of non-renewal at least forty-five (45) days before the applicable renewal date.</w:t>
      </w:r>
    </w:p>
    <w:p>
      <w:r>
        <w:rPr>
          <w:b/>
          <w:sz w:val="24"/>
        </w:rPr>
        <w:t>2. Termination for Convenience</w:t>
      </w:r>
    </w:p>
    <w:p>
      <w:pPr>
        <w:spacing w:after="120"/>
      </w:pPr>
      <w:r>
        <w:rPr>
          <w:b w:val="0"/>
          <w:sz w:val="22"/>
        </w:rPr>
        <w:t>Client may terminate this Agreement for convenience upon sixty (60) days' written notice to Agency. Agency may terminate for convenience upon thirty (30) days' written notice to Client.</w:t>
      </w:r>
    </w:p>
    <w:p>
      <w:r>
        <w:rPr>
          <w:b/>
          <w:sz w:val="24"/>
        </w:rPr>
        <w:t>3. Monthly Retainer Payment</w:t>
      </w:r>
    </w:p>
    <w:p>
      <w:pPr>
        <w:spacing w:after="120"/>
      </w:pPr>
      <w:r>
        <w:rPr>
          <w:b w:val="0"/>
          <w:sz w:val="22"/>
        </w:rPr>
        <w:t>Client shall pay the monthly retainer fee on or before the fifth (5th) business day of each calendar month. Retainer fees unpaid by the tenth (10th) business day of the month shall accrue interest at 1.8% per month from the due date.</w:t>
      </w:r>
    </w:p>
    <w:p>
      <w:r>
        <w:rPr>
          <w:b/>
          <w:sz w:val="24"/>
        </w:rPr>
        <w:t>4. Campaign Approval Deadlines</w:t>
      </w:r>
    </w:p>
    <w:p>
      <w:pPr>
        <w:spacing w:after="120"/>
      </w:pPr>
      <w:r>
        <w:rPr>
          <w:b w:val="0"/>
          <w:sz w:val="22"/>
        </w:rPr>
        <w:t>Client shall provide written approval or consolidated revision feedback on all creative materials submitted by Agency within five (5) business days of delivery. Failure to respond within this window shall constitute deemed approval for that submission.</w:t>
      </w:r>
    </w:p>
    <w:p>
      <w:r>
        <w:rPr>
          <w:b/>
          <w:sz w:val="24"/>
        </w:rPr>
        <w:t>5. Intellectual Property Transfer</w:t>
      </w:r>
    </w:p>
    <w:p>
      <w:pPr>
        <w:spacing w:after="120"/>
      </w:pPr>
      <w:r>
        <w:rPr>
          <w:b w:val="0"/>
          <w:sz w:val="22"/>
        </w:rPr>
        <w:t>All creative work product produced by Agency under this Agreement shall transfer to Client upon receipt of full payment for the month in which the work was delivered.</w:t>
      </w:r>
    </w:p>
    <w:p>
      <w:r>
        <w:rPr>
          <w:b/>
          <w:sz w:val="24"/>
        </w:rPr>
        <w:t>6. Non-Disparagement</w:t>
      </w:r>
    </w:p>
    <w:p>
      <w:pPr>
        <w:spacing w:after="120"/>
      </w:pPr>
      <w:r>
        <w:rPr>
          <w:b w:val="0"/>
          <w:sz w:val="22"/>
        </w:rPr>
        <w:t>For a period of twenty-four (24) months following termination of this Agreement, neither party shall make any public statement that disparages or is likely to harm the reputation of the other.</w:t>
      </w:r>
    </w:p>
    <w:p>
      <w:r>
        <w:rPr>
          <w:b/>
          <w:sz w:val="24"/>
        </w:rPr>
        <w:t>7. Governing Law</w:t>
      </w:r>
    </w:p>
    <w:p>
      <w:pPr>
        <w:spacing w:after="120"/>
      </w:pPr>
      <w:r>
        <w:rPr>
          <w:b w:val="0"/>
          <w:sz w:val="22"/>
        </w:rPr>
        <w:t>This Agreement is governed by the laws of the State of New York.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