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Mamba-DTI: Summary</w:t>
      </w:r>
    </w:p>
    <w:p>
      <w:pPr>
        <w:spacing w:after="240"/>
      </w:pPr>
      <w:r>
        <w:rPr>
          <w:sz w:val="21"/>
          <w:szCs w:val="21"/>
        </w:rPr>
        <w:t xml:space="preserve">We fixed a preprocessing bug where split-local feature IDs collided across train/valid/test (causing train ROC-AUC ~0.99 vs. valid ~0.50) by re-keying features on SMILES/sequence strings instead of indices; added full metrics (accuracy, precision, recall, specificity, MCC, ROC-AUC, PR-AUC) plus validation-only threshold tuning; found and fixed two dead-config bugs where SEED and DROPOUT were defined but never actually applied, which had made runs irreproducible and overfitting-prone; used dropout/weight-decay regularization to cut the train/valid MCC gap; applied Stochastic Weight Averaging (SWA) across top checkpoints to reduce noise from picking a single "best" epoch; and finally ran SWA across 3 independent seeds and averaged their predictions for a robust, non-cherry-picked final result — together lifting MCC from 0.8663 to 0.8693 (best single run 0.8811) and ROC-AUC/PR-AUC to 0.9721/0.9746.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Baseline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Regularization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SWA</w:t>
            </w:r>
          </w:p>
        </w:tc>
        <w:tc>
          <w:tcPr>
            <w:tcW w:type="dxa" w:w="189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Multi-seed (Final)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0.9331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0.9257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0.9406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0.9346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0.9364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0.9301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0.9426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0.9419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0.9279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0.9189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0.9369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0.9249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0.9382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0.9324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0.9441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0.9441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0.8663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0.8514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0.8811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0.8693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0.9654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0.9710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0.9723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0.9721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PR-AUC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0.9659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0.9746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0.9743</w:t>
            </w:r>
          </w:p>
        </w:tc>
        <w:tc>
          <w:tcPr>
            <w:tcW w:type="dxa" w:w="1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0.9746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2026-07-11T20:14:20.527Z</dcterms:created>
  <dcterms:modified xsi:type="dcterms:W3CDTF">2026-07-11T20:14:20.528Z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