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PROFESSIONAL SERVICES AGREEMENT</w:t>
      </w:r>
    </w:p>
    <w:p>
      <w:r>
        <w:t>This Master Professional Services Agreement is entered into as of January 15, 2026, by and between Global Enterprise Solutions Inc. ('Client') and Premier Consulting Services LLC ('Contractor').</w:t>
      </w:r>
    </w:p>
    <w:p>
      <w:pPr>
        <w:pStyle w:val="Heading2"/>
      </w:pPr>
      <w:r>
        <w:t>Section 1. Scope of Services</w:t>
      </w:r>
    </w:p>
    <w:p>
      <w:r>
        <w:t>Contractor shall perform software architecture and technical advisory services as agreed in subsequent Statements of Work.</w:t>
      </w:r>
    </w:p>
    <w:p>
      <w:pPr>
        <w:pStyle w:val="Heading2"/>
      </w:pPr>
      <w:r>
        <w:t>Section 2. Payment Terms</w:t>
      </w:r>
    </w:p>
    <w:p>
      <w:r>
        <w:t>Client shall remit payment for all undisputed invoice amounts within sixty (60) days of invoice date. Overdue amounts shall accrue late fees of 1.5% per month.</w:t>
      </w:r>
    </w:p>
    <w:p>
      <w:pPr>
        <w:pStyle w:val="Heading2"/>
      </w:pPr>
      <w:r>
        <w:t>Section 3. Term and Renewal</w:t>
      </w:r>
    </w:p>
    <w:p>
      <w:r>
        <w:t>This Agreement shall automatically renew for successive one-year periods unless either party provides at least sixty (60) days advance written notice of non-renewal prior to term end.</w:t>
      </w:r>
    </w:p>
    <w:p>
      <w:pPr>
        <w:pStyle w:val="Heading2"/>
      </w:pPr>
      <w:r>
        <w:t>Section 4. Termination</w:t>
      </w:r>
    </w:p>
    <w:p>
      <w:r>
        <w:t>Client may terminate this Agreement at any time for convenience upon written notice. Contractor has no right of termination for convenience.</w:t>
      </w:r>
    </w:p>
    <w:p>
      <w:pPr>
        <w:pStyle w:val="Heading2"/>
      </w:pPr>
      <w:r>
        <w:t>Section 5. Limitation of Liability</w:t>
      </w:r>
    </w:p>
    <w:p>
      <w:r>
        <w:t>Company's liability shall be unlimited and not subject to any monetary cap for any claims, damages, liabilities, or losses arising under this Agreement.</w:t>
      </w:r>
    </w:p>
    <w:p>
      <w:pPr>
        <w:pStyle w:val="Heading2"/>
      </w:pPr>
      <w:r>
        <w:t>Section 6. Governing Law and Venue</w:t>
      </w:r>
    </w:p>
    <w:p>
      <w:r>
        <w:t>This Agreement shall be governed by the laws of the State of New York, and disputes shall be subject to the exclusive jurisdiction of the state and federal courts in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