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FreshBasket Retail</w:t>
      </w:r>
    </w:p>
    <w:p>
      <w:pPr>
        <w:jc w:val="center"/>
      </w:pPr>
      <w:r>
        <w:rPr>
          <w:b/>
          <w:sz w:val="46"/>
        </w:rPr>
        <w:t>Customer Churn Prediction</w:t>
      </w:r>
    </w:p>
    <w:p>
      <w:pPr>
        <w:jc w:val="center"/>
      </w:pPr>
      <w:r>
        <w:rPr>
          <w:sz w:val="30"/>
        </w:rPr>
        <w:t>Final Assessment Report</w:t>
      </w:r>
    </w:p>
    <w:p/>
    <w:p>
      <w:pPr>
        <w:jc w:val="center"/>
      </w:pPr>
      <w:r>
        <w:rPr>
          <w:i/>
        </w:rPr>
        <w:t>A leakage-aware customer-level churn modelling workflow for targeted loyalty retention</w:t>
      </w:r>
    </w:p>
    <w:p/>
    <w:tbl>
      <w:tblPr>
        <w:tblStyle w:val="TableGrid"/>
        <w:tblW w:type="auto" w:w="0"/>
        <w:jc w:val="center"/>
        <w:tblLook w:firstColumn="1" w:firstRow="1" w:lastColumn="0" w:lastRow="0" w:noHBand="0" w:noVBand="1" w:val="04A0"/>
      </w:tblPr>
      <w:tblGrid>
        <w:gridCol w:w="5040"/>
        <w:gridCol w:w="5040"/>
      </w:tblGrid>
      <w:tr>
        <w:tc>
          <w:tcPr>
            <w:tcW w:type="dxa" w:w="3024"/>
            <w:shd w:fill="EDEDED"/>
            <w:vAlign w:val="center"/>
          </w:tcPr>
          <w:p>
            <w:r>
              <w:rPr>
                <w:b/>
              </w:rPr>
              <w:t>Project area</w:t>
            </w:r>
          </w:p>
        </w:tc>
        <w:tc>
          <w:tcPr>
            <w:tcW w:type="dxa" w:w="6624"/>
            <w:shd w:fill="EDEDED"/>
            <w:vAlign w:val="center"/>
          </w:tcPr>
          <w:p>
            <w:r>
              <w:rPr>
                <w:b/>
              </w:rPr>
              <w:t>Details</w:t>
            </w:r>
          </w:p>
        </w:tc>
      </w:tr>
      <w:tr>
        <w:tc>
          <w:tcPr>
            <w:tcW w:type="dxa" w:w="3024"/>
            <w:vAlign w:val="center"/>
          </w:tcPr>
          <w:p>
            <w:r>
              <w:t>Business</w:t>
            </w:r>
          </w:p>
        </w:tc>
        <w:tc>
          <w:tcPr>
            <w:tcW w:type="dxa" w:w="6624"/>
            <w:vAlign w:val="center"/>
          </w:tcPr>
          <w:p>
            <w:r>
              <w:t>FreshBasket retail loyalty program</w:t>
            </w:r>
          </w:p>
        </w:tc>
      </w:tr>
      <w:tr>
        <w:tc>
          <w:tcPr>
            <w:tcW w:type="dxa" w:w="3024"/>
            <w:vAlign w:val="center"/>
          </w:tcPr>
          <w:p>
            <w:r>
              <w:t>Objective</w:t>
            </w:r>
          </w:p>
        </w:tc>
        <w:tc>
          <w:tcPr>
            <w:tcW w:type="dxa" w:w="6624"/>
            <w:vAlign w:val="center"/>
          </w:tcPr>
          <w:p>
            <w:r>
              <w:t>Near-term customer churn prediction and diagnosis</w:t>
            </w:r>
          </w:p>
        </w:tc>
      </w:tr>
      <w:tr>
        <w:tc>
          <w:tcPr>
            <w:tcW w:type="dxa" w:w="3024"/>
            <w:vAlign w:val="center"/>
          </w:tcPr>
          <w:p>
            <w:r>
              <w:t>Data period</w:t>
            </w:r>
          </w:p>
        </w:tc>
        <w:tc>
          <w:tcPr>
            <w:tcW w:type="dxa" w:w="6624"/>
            <w:vAlign w:val="center"/>
          </w:tcPr>
          <w:p>
            <w:r>
              <w:t>January 2023 – June 2024</w:t>
            </w:r>
          </w:p>
        </w:tc>
      </w:tr>
      <w:tr>
        <w:tc>
          <w:tcPr>
            <w:tcW w:type="dxa" w:w="3024"/>
            <w:vAlign w:val="center"/>
          </w:tcPr>
          <w:p>
            <w:r>
              <w:t>Modelling population</w:t>
            </w:r>
          </w:p>
        </w:tc>
        <w:tc>
          <w:tcPr>
            <w:tcW w:type="dxa" w:w="6624"/>
            <w:vAlign w:val="center"/>
          </w:tcPr>
          <w:p>
            <w:r>
              <w:t>2,225 customers</w:t>
            </w:r>
          </w:p>
        </w:tc>
      </w:tr>
      <w:tr>
        <w:tc>
          <w:tcPr>
            <w:tcW w:type="dxa" w:w="3024"/>
            <w:vAlign w:val="center"/>
          </w:tcPr>
          <w:p>
            <w:r>
              <w:t>Final feature set</w:t>
            </w:r>
          </w:p>
        </w:tc>
        <w:tc>
          <w:tcPr>
            <w:tcW w:type="dxa" w:w="6624"/>
            <w:vAlign w:val="center"/>
          </w:tcPr>
          <w:p>
            <w:r>
              <w:t>51 customer-level features</w:t>
            </w:r>
          </w:p>
        </w:tc>
      </w:tr>
      <w:tr>
        <w:tc>
          <w:tcPr>
            <w:tcW w:type="dxa" w:w="3024"/>
            <w:vAlign w:val="center"/>
          </w:tcPr>
          <w:p>
            <w:r>
              <w:t>Validation</w:t>
            </w:r>
          </w:p>
        </w:tc>
        <w:tc>
          <w:tcPr>
            <w:tcW w:type="dxa" w:w="6624"/>
            <w:vAlign w:val="center"/>
          </w:tcPr>
          <w:p>
            <w:r>
              <w:t>Signup-date cohort split</w:t>
            </w:r>
          </w:p>
        </w:tc>
      </w:tr>
      <w:tr>
        <w:tc>
          <w:tcPr>
            <w:tcW w:type="dxa" w:w="3024"/>
            <w:vAlign w:val="center"/>
          </w:tcPr>
          <w:p>
            <w:r>
              <w:t>Primary modelling approaches</w:t>
            </w:r>
          </w:p>
        </w:tc>
        <w:tc>
          <w:tcPr>
            <w:tcW w:type="dxa" w:w="6624"/>
            <w:vAlign w:val="center"/>
          </w:tcPr>
          <w:p>
            <w:r>
              <w:t>Logistic Regression and Random Forest</w:t>
            </w:r>
          </w:p>
        </w:tc>
      </w:tr>
    </w:tbl>
    <w:p/>
    <w:p>
      <w:r>
        <w:br w:type="page"/>
      </w:r>
    </w:p>
    <w:p>
      <w:pPr>
        <w:pStyle w:val="Heading1"/>
      </w:pPr>
      <w:r>
        <w:t>1. Executive Summary</w:t>
      </w:r>
    </w:p>
    <w:p>
      <w:r>
        <w:t>FreshBasket currently lacks a systematic way to identify loyalty members who are likely to churn. As a result, retention offers may be sent broadly rather than targeted toward customers showing elevated risk. This project develops an end-to-end classification workflow that combines customer profile, monthly activity, and churn-label data into a leakage-aware customer-level modelling dataset.</w:t>
      </w:r>
    </w:p>
    <w:p>
      <w:r>
        <w:t>The workflow covers data-quality assessment, exploratory analysis, cleaning, customer-level feature engineering, signup-cohort validation, model comparison, explainability, segmentation, ablation testing, and a retention scenario simulation.</w:t>
      </w:r>
    </w:p>
    <w:p>
      <w:r>
        <w:t>The main analytical finding is that recent behavioural change and engagement signals are substantially more useful for prediction than demographics alone in this modelling setup. This supports a targeted retention strategy based on observable behavioural risk rather than applying the same intervention to the entire loyalty base.</w:t>
      </w:r>
    </w:p>
    <w:p>
      <w:r>
        <w:t>The retention analysis is explicitly a scenario simulation rather than causal evidence. It assumes a 20% relative reduction in predicted risk for high-risk customers and should therefore be validated through an actual controlled retention campaign.</w:t>
      </w:r>
    </w:p>
    <w:p>
      <w:pPr>
        <w:pStyle w:val="Heading1"/>
      </w:pPr>
      <w:r>
        <w:t>2. Business Problem and Objective</w:t>
      </w:r>
    </w:p>
    <w:p>
      <w:r>
        <w:t>FreshBasket operates a loyalty program with Silver, Gold, and Platinum membership tiers. Management wants to identify members at risk of near-term churn, understand the signals that precede churn, and use those signals to target retention activity.</w:t>
      </w:r>
    </w:p>
    <w:p>
      <w:r>
        <w:t>The project objectives are to:</w:t>
      </w:r>
    </w:p>
    <w:p>
      <w:pPr>
        <w:pStyle w:val="ListBullet"/>
      </w:pPr>
      <w:r>
        <w:t>Build a customer-level classification model for churn.</w:t>
      </w:r>
    </w:p>
    <w:p>
      <w:pPr>
        <w:pStyle w:val="ListBullet"/>
      </w:pPr>
      <w:r>
        <w:t>Use only information available before the April–June 2024 churn window.</w:t>
      </w:r>
    </w:p>
    <w:p>
      <w:pPr>
        <w:pStyle w:val="ListBullet"/>
      </w:pPr>
      <w:r>
        <w:t>Understand the relationship between engagement, support activity, behaviour, and churn.</w:t>
      </w:r>
    </w:p>
    <w:p>
      <w:pPr>
        <w:pStyle w:val="ListBullet"/>
      </w:pPr>
      <w:r>
        <w:t>Compare a transparent baseline with a nonlinear machine-learning classifier.</w:t>
      </w:r>
    </w:p>
    <w:p>
      <w:pPr>
        <w:pStyle w:val="ListBullet"/>
      </w:pPr>
      <w:r>
        <w:t>Evaluate the model using precision, recall, F1, PR-AUC, and accuracy while accounting for class imbalance.</w:t>
      </w:r>
    </w:p>
    <w:p>
      <w:pPr>
        <w:pStyle w:val="ListBullet"/>
      </w:pPr>
      <w:r>
        <w:t>Explain important predictive drivers and compare risk across tier, city, and signup cohort.</w:t>
      </w:r>
    </w:p>
    <w:p>
      <w:pPr>
        <w:pStyle w:val="ListBullet"/>
      </w:pPr>
      <w:r>
        <w:t>Test the incremental value of behavioural, engagement, and support features using ablation.</w:t>
      </w:r>
    </w:p>
    <w:p>
      <w:pPr>
        <w:pStyle w:val="ListBullet"/>
      </w:pPr>
      <w:r>
        <w:t>Demonstrate a targeted retention scenario for high-risk customers.</w:t>
      </w:r>
    </w:p>
    <w:p>
      <w:pPr>
        <w:pStyle w:val="Heading1"/>
      </w:pPr>
      <w:r>
        <w:t>3. Data and Modelling Population</w:t>
      </w:r>
    </w:p>
    <w:p>
      <w:r>
        <w:t>The supplied workbook contains three related tables: Customer Profile, Monthly Activity, and Churn Label. The monthly activity data covers 18 months from January 2023 through June 2024 and approximately 2,600 members.</w:t>
      </w:r>
    </w:p>
    <w:tbl>
      <w:tblPr>
        <w:tblStyle w:val="TableGrid"/>
        <w:tblW w:type="auto" w:w="0"/>
        <w:jc w:val="center"/>
        <w:tblLook w:firstColumn="1" w:firstRow="1" w:lastColumn="0" w:lastRow="0" w:noHBand="0" w:noVBand="1" w:val="04A0"/>
      </w:tblPr>
      <w:tblGrid>
        <w:gridCol w:w="5040"/>
        <w:gridCol w:w="5040"/>
      </w:tblGrid>
      <w:tr>
        <w:tc>
          <w:tcPr>
            <w:tcW w:type="dxa" w:w="2304"/>
            <w:shd w:fill="EDEDED"/>
            <w:vAlign w:val="center"/>
          </w:tcPr>
          <w:p>
            <w:r>
              <w:rPr>
                <w:b/>
              </w:rPr>
              <w:t>Source table</w:t>
            </w:r>
          </w:p>
        </w:tc>
        <w:tc>
          <w:tcPr>
            <w:tcW w:type="dxa" w:w="7344"/>
            <w:shd w:fill="EDEDED"/>
            <w:vAlign w:val="center"/>
          </w:tcPr>
          <w:p>
            <w:r>
              <w:rPr>
                <w:b/>
              </w:rPr>
              <w:t>Main information</w:t>
            </w:r>
          </w:p>
        </w:tc>
      </w:tr>
      <w:tr>
        <w:tc>
          <w:tcPr>
            <w:tcW w:type="dxa" w:w="2304"/>
            <w:vAlign w:val="center"/>
          </w:tcPr>
          <w:p>
            <w:r>
              <w:t>Customer Profile</w:t>
            </w:r>
          </w:p>
        </w:tc>
        <w:tc>
          <w:tcPr>
            <w:tcW w:type="dxa" w:w="7344"/>
            <w:vAlign w:val="center"/>
          </w:tcPr>
          <w:p>
            <w:r>
              <w:t>Customer ID, signup date, age, gender, city, membership tier, marketing opt-in, preferred category and store attributes</w:t>
            </w:r>
          </w:p>
        </w:tc>
      </w:tr>
      <w:tr>
        <w:tc>
          <w:tcPr>
            <w:tcW w:type="dxa" w:w="2304"/>
            <w:vAlign w:val="center"/>
          </w:tcPr>
          <w:p>
            <w:r>
              <w:t>Monthly Activity</w:t>
            </w:r>
          </w:p>
        </w:tc>
        <w:tc>
          <w:tcPr>
            <w:tcW w:type="dxa" w:w="7344"/>
            <w:vAlign w:val="center"/>
          </w:tcPr>
          <w:p>
            <w:r>
              <w:t>Transactions, spend, basket value, categories, promotions, app sessions, emails, coupons, support tickets and complaints</w:t>
            </w:r>
          </w:p>
        </w:tc>
      </w:tr>
      <w:tr>
        <w:tc>
          <w:tcPr>
            <w:tcW w:type="dxa" w:w="2304"/>
            <w:vAlign w:val="center"/>
          </w:tcPr>
          <w:p>
            <w:r>
              <w:t>Churn Label</w:t>
            </w:r>
          </w:p>
        </w:tc>
        <w:tc>
          <w:tcPr>
            <w:tcW w:type="dxa" w:w="7344"/>
            <w:vAlign w:val="center"/>
          </w:tcPr>
          <w:p>
            <w:r>
              <w:t>Observation end date, last purchase date, history sufficiency and churn indicator</w:t>
            </w:r>
          </w:p>
        </w:tc>
      </w:tr>
    </w:tbl>
    <w:p/>
    <w:p>
      <w:r>
        <w:t>The churn definition identifies customers with zero purchase transactions during April–June 2024 despite having purchase history earlier in the observation period. Customers flagged with insufficient history were excluded from modelling.</w:t>
      </w:r>
    </w:p>
    <w:p>
      <w:pPr>
        <w:pStyle w:val="Heading1"/>
      </w:pPr>
      <w:r>
        <w:t>4. Data Quality and Cleaning</w:t>
      </w:r>
    </w:p>
    <w:p>
      <w:r>
        <w:t>The first stage assessed duplicate records, duplicate customer-months, missing values, negative spend, negative transactions, invalid basket values, zero-transaction anomalies, month coverage, customer-ID matching, categorical consistency and spend outliers.</w:t>
      </w:r>
    </w:p>
    <w:tbl>
      <w:tblPr>
        <w:tblStyle w:val="TableGrid"/>
        <w:tblW w:type="auto" w:w="0"/>
        <w:jc w:val="center"/>
        <w:tblLook w:firstColumn="1" w:firstRow="1" w:lastColumn="0" w:lastRow="0" w:noHBand="0" w:noVBand="1" w:val="04A0"/>
      </w:tblPr>
      <w:tblGrid>
        <w:gridCol w:w="5040"/>
        <w:gridCol w:w="5040"/>
      </w:tblGrid>
      <w:tr>
        <w:tc>
          <w:tcPr>
            <w:tcW w:type="dxa" w:w="4608"/>
            <w:shd w:fill="EDEDED"/>
            <w:vAlign w:val="center"/>
          </w:tcPr>
          <w:p>
            <w:r>
              <w:rPr>
                <w:b/>
              </w:rPr>
              <w:t>Check</w:t>
            </w:r>
          </w:p>
        </w:tc>
        <w:tc>
          <w:tcPr>
            <w:tcW w:type="dxa" w:w="5040"/>
            <w:shd w:fill="EDEDED"/>
            <w:vAlign w:val="center"/>
          </w:tcPr>
          <w:p>
            <w:r>
              <w:rPr>
                <w:b/>
              </w:rPr>
              <w:t>Result</w:t>
            </w:r>
          </w:p>
        </w:tc>
      </w:tr>
      <w:tr>
        <w:tc>
          <w:tcPr>
            <w:tcW w:type="dxa" w:w="4608"/>
            <w:vAlign w:val="center"/>
          </w:tcPr>
          <w:p>
            <w:r>
              <w:t>Customer profile rows</w:t>
            </w:r>
          </w:p>
        </w:tc>
        <w:tc>
          <w:tcPr>
            <w:tcW w:type="dxa" w:w="5040"/>
            <w:vAlign w:val="center"/>
          </w:tcPr>
          <w:p>
            <w:r>
              <w:t>2,600</w:t>
            </w:r>
          </w:p>
        </w:tc>
      </w:tr>
      <w:tr>
        <w:tc>
          <w:tcPr>
            <w:tcW w:type="dxa" w:w="4608"/>
            <w:vAlign w:val="center"/>
          </w:tcPr>
          <w:p>
            <w:r>
              <w:t>Monthly activity rows</w:t>
            </w:r>
          </w:p>
        </w:tc>
        <w:tc>
          <w:tcPr>
            <w:tcW w:type="dxa" w:w="5040"/>
            <w:vAlign w:val="center"/>
          </w:tcPr>
          <w:p>
            <w:r>
              <w:t>28,015 before modelling cleaning</w:t>
            </w:r>
          </w:p>
        </w:tc>
      </w:tr>
      <w:tr>
        <w:tc>
          <w:tcPr>
            <w:tcW w:type="dxa" w:w="4608"/>
            <w:vAlign w:val="center"/>
          </w:tcPr>
          <w:p>
            <w:r>
              <w:t>Churn label rows</w:t>
            </w:r>
          </w:p>
        </w:tc>
        <w:tc>
          <w:tcPr>
            <w:tcW w:type="dxa" w:w="5040"/>
            <w:vAlign w:val="center"/>
          </w:tcPr>
          <w:p>
            <w:r>
              <w:t>2,600 before insufficient-history filtering</w:t>
            </w:r>
          </w:p>
        </w:tc>
      </w:tr>
      <w:tr>
        <w:tc>
          <w:tcPr>
            <w:tcW w:type="dxa" w:w="4608"/>
            <w:vAlign w:val="center"/>
          </w:tcPr>
          <w:p>
            <w:r>
              <w:t>Duplicate profile customers</w:t>
            </w:r>
          </w:p>
        </w:tc>
        <w:tc>
          <w:tcPr>
            <w:tcW w:type="dxa" w:w="5040"/>
            <w:vAlign w:val="center"/>
          </w:tcPr>
          <w:p>
            <w:r>
              <w:t>0</w:t>
            </w:r>
          </w:p>
        </w:tc>
      </w:tr>
      <w:tr>
        <w:tc>
          <w:tcPr>
            <w:tcW w:type="dxa" w:w="4608"/>
            <w:vAlign w:val="center"/>
          </w:tcPr>
          <w:p>
            <w:r>
              <w:t>Duplicate churn customers</w:t>
            </w:r>
          </w:p>
        </w:tc>
        <w:tc>
          <w:tcPr>
            <w:tcW w:type="dxa" w:w="5040"/>
            <w:vAlign w:val="center"/>
          </w:tcPr>
          <w:p>
            <w:r>
              <w:t>0</w:t>
            </w:r>
          </w:p>
        </w:tc>
      </w:tr>
      <w:tr>
        <w:tc>
          <w:tcPr>
            <w:tcW w:type="dxa" w:w="4608"/>
            <w:vAlign w:val="center"/>
          </w:tcPr>
          <w:p>
            <w:r>
              <w:t>Duplicate customer-months</w:t>
            </w:r>
          </w:p>
        </w:tc>
        <w:tc>
          <w:tcPr>
            <w:tcW w:type="dxa" w:w="5040"/>
            <w:vAlign w:val="center"/>
          </w:tcPr>
          <w:p>
            <w:r>
              <w:t>2</w:t>
            </w:r>
          </w:p>
        </w:tc>
      </w:tr>
      <w:tr>
        <w:tc>
          <w:tcPr>
            <w:tcW w:type="dxa" w:w="4608"/>
            <w:vAlign w:val="center"/>
          </w:tcPr>
          <w:p>
            <w:r>
              <w:t>Negative spend rows</w:t>
            </w:r>
          </w:p>
        </w:tc>
        <w:tc>
          <w:tcPr>
            <w:tcW w:type="dxa" w:w="5040"/>
            <w:vAlign w:val="center"/>
          </w:tcPr>
          <w:p>
            <w:r>
              <w:t>24</w:t>
            </w:r>
          </w:p>
        </w:tc>
      </w:tr>
      <w:tr>
        <w:tc>
          <w:tcPr>
            <w:tcW w:type="dxa" w:w="4608"/>
            <w:vAlign w:val="center"/>
          </w:tcPr>
          <w:p>
            <w:r>
              <w:t>Negative transaction rows</w:t>
            </w:r>
          </w:p>
        </w:tc>
        <w:tc>
          <w:tcPr>
            <w:tcW w:type="dxa" w:w="5040"/>
            <w:vAlign w:val="center"/>
          </w:tcPr>
          <w:p>
            <w:r>
              <w:t>0</w:t>
            </w:r>
          </w:p>
        </w:tc>
      </w:tr>
      <w:tr>
        <w:tc>
          <w:tcPr>
            <w:tcW w:type="dxa" w:w="4608"/>
            <w:vAlign w:val="center"/>
          </w:tcPr>
          <w:p>
            <w:r>
              <w:t>Negative basket values</w:t>
            </w:r>
          </w:p>
        </w:tc>
        <w:tc>
          <w:tcPr>
            <w:tcW w:type="dxa" w:w="5040"/>
            <w:vAlign w:val="center"/>
          </w:tcPr>
          <w:p>
            <w:r>
              <w:t>0</w:t>
            </w:r>
          </w:p>
        </w:tc>
      </w:tr>
      <w:tr>
        <w:tc>
          <w:tcPr>
            <w:tcW w:type="dxa" w:w="4608"/>
            <w:vAlign w:val="center"/>
          </w:tcPr>
          <w:p>
            <w:r>
              <w:t>Zero-transaction rows</w:t>
            </w:r>
          </w:p>
        </w:tc>
        <w:tc>
          <w:tcPr>
            <w:tcW w:type="dxa" w:w="5040"/>
            <w:vAlign w:val="center"/>
          </w:tcPr>
          <w:p>
            <w:r>
              <w:t>2,330</w:t>
            </w:r>
          </w:p>
        </w:tc>
      </w:tr>
      <w:tr>
        <w:tc>
          <w:tcPr>
            <w:tcW w:type="dxa" w:w="4608"/>
            <w:vAlign w:val="center"/>
          </w:tcPr>
          <w:p>
            <w:r>
              <w:t>Zero transactions with non-zero spend</w:t>
            </w:r>
          </w:p>
        </w:tc>
        <w:tc>
          <w:tcPr>
            <w:tcW w:type="dxa" w:w="5040"/>
            <w:vAlign w:val="center"/>
          </w:tcPr>
          <w:p>
            <w:r>
              <w:t>0</w:t>
            </w:r>
          </w:p>
        </w:tc>
      </w:tr>
      <w:tr>
        <w:tc>
          <w:tcPr>
            <w:tcW w:type="dxa" w:w="4608"/>
            <w:vAlign w:val="center"/>
          </w:tcPr>
          <w:p>
            <w:r>
              <w:t>Activity months present</w:t>
            </w:r>
          </w:p>
        </w:tc>
        <w:tc>
          <w:tcPr>
            <w:tcW w:type="dxa" w:w="5040"/>
            <w:vAlign w:val="center"/>
          </w:tcPr>
          <w:p>
            <w:r>
              <w:t>18 / 18</w:t>
            </w:r>
          </w:p>
        </w:tc>
      </w:tr>
      <w:tr>
        <w:tc>
          <w:tcPr>
            <w:tcW w:type="dxa" w:w="4608"/>
            <w:vAlign w:val="center"/>
          </w:tcPr>
          <w:p>
            <w:r>
              <w:t>Customers with internal activity-month gaps</w:t>
            </w:r>
          </w:p>
        </w:tc>
        <w:tc>
          <w:tcPr>
            <w:tcW w:type="dxa" w:w="5040"/>
            <w:vAlign w:val="center"/>
          </w:tcPr>
          <w:p>
            <w:r>
              <w:t>769</w:t>
            </w:r>
          </w:p>
        </w:tc>
      </w:tr>
    </w:tbl>
    <w:p/>
    <w:p>
      <w:r>
        <w:t>Cleaning decisions:</w:t>
      </w:r>
    </w:p>
    <w:p>
      <w:pPr>
        <w:pStyle w:val="ListBullet"/>
      </w:pPr>
      <w:r>
        <w:t>Removed negative total-spend records.</w:t>
      </w:r>
    </w:p>
    <w:p>
      <w:pPr>
        <w:pStyle w:val="ListBullet"/>
      </w:pPr>
      <w:r>
        <w:t>Resolved duplicate customer-month records after negative-spend filtering by retaining the record with the highest total spend.</w:t>
      </w:r>
    </w:p>
    <w:p>
      <w:pPr>
        <w:pStyle w:val="ListBullet"/>
      </w:pPr>
      <w:r>
        <w:t>Removed HOME_STORE_PRICE_TIER because it was completely missing.</w:t>
      </w:r>
    </w:p>
    <w:p>
      <w:pPr>
        <w:pStyle w:val="ListBullet"/>
      </w:pPr>
      <w:r>
        <w:t>Imputed missing age using the median.</w:t>
      </w:r>
    </w:p>
    <w:p>
      <w:pPr>
        <w:pStyle w:val="ListBullet"/>
      </w:pPr>
      <w:r>
        <w:t>Represented missing gender as Unknown.</w:t>
      </w:r>
    </w:p>
    <w:p>
      <w:pPr>
        <w:pStyle w:val="ListBullet"/>
      </w:pPr>
      <w:r>
        <w:t>Constrained promotional transaction percentage to the valid 0–1 range.</w:t>
      </w:r>
    </w:p>
    <w:p>
      <w:pPr>
        <w:pStyle w:val="ListBullet"/>
      </w:pPr>
      <w:r>
        <w:t>Recalculated average basket value from total spend and transactions where transactions were greater than zero.</w:t>
      </w:r>
    </w:p>
    <w:p>
      <w:pPr>
        <w:pStyle w:val="ListBullet"/>
      </w:pPr>
      <w:r>
        <w:t>Excluded customers with insufficient history from the modelling label population.</w:t>
      </w:r>
    </w:p>
    <w:p>
      <w:pPr>
        <w:pStyle w:val="Heading1"/>
      </w:pPr>
      <w:r>
        <w:t>5. Exploratory Data Analysis</w:t>
      </w:r>
    </w:p>
    <w:p>
      <w:r>
        <w:t>The cleaned churn population was:</w:t>
      </w:r>
    </w:p>
    <w:tbl>
      <w:tblPr>
        <w:tblStyle w:val="TableGrid"/>
        <w:tblW w:type="auto" w:w="0"/>
        <w:jc w:val="center"/>
        <w:tblLook w:firstColumn="1" w:firstRow="1" w:lastColumn="0" w:lastRow="0" w:noHBand="0" w:noVBand="1" w:val="04A0"/>
      </w:tblPr>
      <w:tblGrid>
        <w:gridCol w:w="3360"/>
        <w:gridCol w:w="3360"/>
        <w:gridCol w:w="3360"/>
      </w:tblGrid>
      <w:tr>
        <w:tc>
          <w:tcPr>
            <w:tcW w:type="dxa" w:w="3600"/>
            <w:shd w:fill="EDEDED"/>
            <w:vAlign w:val="center"/>
          </w:tcPr>
          <w:p>
            <w:r>
              <w:rPr>
                <w:b/>
              </w:rPr>
              <w:t>Outcome</w:t>
            </w:r>
          </w:p>
        </w:tc>
        <w:tc>
          <w:tcPr>
            <w:tcW w:type="dxa" w:w="2880"/>
            <w:shd w:fill="EDEDED"/>
            <w:vAlign w:val="center"/>
          </w:tcPr>
          <w:p>
            <w:r>
              <w:rPr>
                <w:b/>
              </w:rPr>
              <w:t>Customers</w:t>
            </w:r>
          </w:p>
        </w:tc>
        <w:tc>
          <w:tcPr>
            <w:tcW w:type="dxa" w:w="2880"/>
            <w:shd w:fill="EDEDED"/>
            <w:vAlign w:val="center"/>
          </w:tcPr>
          <w:p>
            <w:r>
              <w:rPr>
                <w:b/>
              </w:rPr>
              <w:t>Share</w:t>
            </w:r>
          </w:p>
        </w:tc>
      </w:tr>
      <w:tr>
        <w:tc>
          <w:tcPr>
            <w:tcW w:type="dxa" w:w="3600"/>
            <w:vAlign w:val="center"/>
          </w:tcPr>
          <w:p>
            <w:r>
              <w:t>Not churned</w:t>
            </w:r>
          </w:p>
        </w:tc>
        <w:tc>
          <w:tcPr>
            <w:tcW w:type="dxa" w:w="2880"/>
            <w:vAlign w:val="center"/>
          </w:tcPr>
          <w:p>
            <w:r>
              <w:t>1,782</w:t>
            </w:r>
          </w:p>
        </w:tc>
        <w:tc>
          <w:tcPr>
            <w:tcW w:type="dxa" w:w="2880"/>
            <w:vAlign w:val="center"/>
          </w:tcPr>
          <w:p>
            <w:r>
              <w:t>68.54%</w:t>
            </w:r>
          </w:p>
        </w:tc>
      </w:tr>
      <w:tr>
        <w:tc>
          <w:tcPr>
            <w:tcW w:type="dxa" w:w="3600"/>
            <w:vAlign w:val="center"/>
          </w:tcPr>
          <w:p>
            <w:r>
              <w:t>Churned</w:t>
            </w:r>
          </w:p>
        </w:tc>
        <w:tc>
          <w:tcPr>
            <w:tcW w:type="dxa" w:w="2880"/>
            <w:vAlign w:val="center"/>
          </w:tcPr>
          <w:p>
            <w:r>
              <w:t>818</w:t>
            </w:r>
          </w:p>
        </w:tc>
        <w:tc>
          <w:tcPr>
            <w:tcW w:type="dxa" w:w="2880"/>
            <w:vAlign w:val="center"/>
          </w:tcPr>
          <w:p>
            <w:r>
              <w:t>31.46%</w:t>
            </w:r>
          </w:p>
        </w:tc>
      </w:tr>
    </w:tbl>
    <w:p/>
    <w:p>
      <w:r>
        <w:t>Churn was also examined across membership tier, city, and signup cohort. Earlier descriptive analysis showed the highest city-level churn rates in Austin and Columbus, while tier differences were comparatively modest. These are descriptive associations and do not establish causality.</w:t>
      </w:r>
    </w:p>
    <w:p>
      <w:pPr>
        <w:pStyle w:val="Heading1"/>
      </w:pPr>
      <w:r>
        <w:t>6. Feature Engineering and Leakage Control</w:t>
      </w:r>
    </w:p>
    <w:p>
      <w:r>
        <w:t>The modelling dataset was constructed at customer level using activity available through the end of March 2024. The April–June 2024 period was reserved for the churn outcome, preventing future information from entering the predictors.</w:t>
      </w:r>
    </w:p>
    <w:p>
      <w:r>
        <w:t>Feature groups included:</w:t>
      </w:r>
    </w:p>
    <w:p>
      <w:pPr>
        <w:pStyle w:val="ListBullet"/>
      </w:pPr>
      <w:r>
        <w:t>Spend and transaction totals, averages and variability.</w:t>
      </w:r>
    </w:p>
    <w:p>
      <w:pPr>
        <w:pStyle w:val="ListBullet"/>
      </w:pPr>
      <w:r>
        <w:t>Average basket value and distinct category activity.</w:t>
      </w:r>
    </w:p>
    <w:p>
      <w:pPr>
        <w:pStyle w:val="ListBullet"/>
      </w:pPr>
      <w:r>
        <w:t>Active months and observed months.</w:t>
      </w:r>
    </w:p>
    <w:p>
      <w:pPr>
        <w:pStyle w:val="ListBullet"/>
      </w:pPr>
      <w:r>
        <w:t>Recent spend and transaction behaviour.</w:t>
      </w:r>
    </w:p>
    <w:p>
      <w:pPr>
        <w:pStyle w:val="ListBullet"/>
      </w:pPr>
      <w:r>
        <w:t>Spend, transaction, app-session and support-ticket change measures.</w:t>
      </w:r>
    </w:p>
    <w:p>
      <w:pPr>
        <w:pStyle w:val="ListBullet"/>
      </w:pPr>
      <w:r>
        <w:t>App sessions, emails opened, coupons redeemed and complaint behaviour.</w:t>
      </w:r>
    </w:p>
    <w:p>
      <w:pPr>
        <w:pStyle w:val="ListBullet"/>
      </w:pPr>
      <w:r>
        <w:t>Customer support activity and support-ticket trends.</w:t>
      </w:r>
    </w:p>
    <w:p>
      <w:pPr>
        <w:pStyle w:val="ListBullet"/>
      </w:pPr>
      <w:r>
        <w:t>Membership tier, city, demographics, marketing opt-in and preferred category.</w:t>
      </w:r>
    </w:p>
    <w:p>
      <w:pPr>
        <w:pStyle w:val="ListBullet"/>
      </w:pPr>
      <w:r>
        <w:t>Customer tenure.</w:t>
      </w:r>
    </w:p>
    <w:p>
      <w:pPr>
        <w:pStyle w:val="ListBullet"/>
      </w:pPr>
      <w:r>
        <w:t>Months since last purchase (recency).</w:t>
      </w:r>
    </w:p>
    <w:p>
      <w:pPr>
        <w:pStyle w:val="ListBullet"/>
      </w:pPr>
      <w:r>
        <w:t>Rolling three-month spend, transaction, app-session, email and support-ticket measures.</w:t>
      </w:r>
    </w:p>
    <w:p>
      <w:r>
        <w:t>The resulting customer-level feature dataset contains 2,225 customers and 51 columns.</w:t>
      </w:r>
    </w:p>
    <w:p>
      <w:pPr>
        <w:pStyle w:val="Heading1"/>
      </w:pPr>
      <w:r>
        <w:t>7. Validation Strategy</w:t>
      </w:r>
    </w:p>
    <w:p>
      <w:r>
        <w:t>A random train/test split was not used as the primary validation approach. Customers were ordered by signup date and divided using an 80th-percentile signup-date cohort cutoff.</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shd w:fill="EDEDED"/>
            <w:vAlign w:val="center"/>
          </w:tcPr>
          <w:p>
            <w:r>
              <w:rPr>
                <w:b/>
              </w:rPr>
              <w:t>Dataset</w:t>
            </w:r>
          </w:p>
        </w:tc>
        <w:tc>
          <w:tcPr>
            <w:tcW w:type="dxa" w:w="2304"/>
            <w:shd w:fill="EDEDED"/>
            <w:vAlign w:val="center"/>
          </w:tcPr>
          <w:p>
            <w:r>
              <w:rPr>
                <w:b/>
              </w:rPr>
              <w:t>Customers</w:t>
            </w:r>
          </w:p>
        </w:tc>
        <w:tc>
          <w:tcPr>
            <w:tcW w:type="dxa" w:w="2160"/>
            <w:shd w:fill="EDEDED"/>
            <w:vAlign w:val="center"/>
          </w:tcPr>
          <w:p>
            <w:r>
              <w:rPr>
                <w:b/>
              </w:rPr>
              <w:t>Churned</w:t>
            </w:r>
          </w:p>
        </w:tc>
        <w:tc>
          <w:tcPr>
            <w:tcW w:type="dxa" w:w="2016"/>
            <w:shd w:fill="EDEDED"/>
            <w:vAlign w:val="center"/>
          </w:tcPr>
          <w:p>
            <w:r>
              <w:rPr>
                <w:b/>
              </w:rPr>
              <w:t>Churn rate</w:t>
            </w:r>
          </w:p>
        </w:tc>
      </w:tr>
      <w:tr>
        <w:tc>
          <w:tcPr>
            <w:tcW w:type="dxa" w:w="3024"/>
            <w:vAlign w:val="center"/>
          </w:tcPr>
          <w:p>
            <w:r>
              <w:t>Train</w:t>
            </w:r>
          </w:p>
        </w:tc>
        <w:tc>
          <w:tcPr>
            <w:tcW w:type="dxa" w:w="2304"/>
            <w:vAlign w:val="center"/>
          </w:tcPr>
          <w:p>
            <w:r>
              <w:t>1,780</w:t>
            </w:r>
          </w:p>
        </w:tc>
        <w:tc>
          <w:tcPr>
            <w:tcW w:type="dxa" w:w="2160"/>
            <w:vAlign w:val="center"/>
          </w:tcPr>
          <w:p>
            <w:r>
              <w:t>615</w:t>
            </w:r>
          </w:p>
        </w:tc>
        <w:tc>
          <w:tcPr>
            <w:tcW w:type="dxa" w:w="2016"/>
            <w:vAlign w:val="center"/>
          </w:tcPr>
          <w:p>
            <w:r>
              <w:t>34.55%</w:t>
            </w:r>
          </w:p>
        </w:tc>
      </w:tr>
      <w:tr>
        <w:tc>
          <w:tcPr>
            <w:tcW w:type="dxa" w:w="3024"/>
            <w:vAlign w:val="center"/>
          </w:tcPr>
          <w:p>
            <w:r>
              <w:t>Validation</w:t>
            </w:r>
          </w:p>
        </w:tc>
        <w:tc>
          <w:tcPr>
            <w:tcW w:type="dxa" w:w="2304"/>
            <w:vAlign w:val="center"/>
          </w:tcPr>
          <w:p>
            <w:r>
              <w:t>445</w:t>
            </w:r>
          </w:p>
        </w:tc>
        <w:tc>
          <w:tcPr>
            <w:tcW w:type="dxa" w:w="2160"/>
            <w:vAlign w:val="center"/>
          </w:tcPr>
          <w:p>
            <w:r>
              <w:t>47</w:t>
            </w:r>
          </w:p>
        </w:tc>
        <w:tc>
          <w:tcPr>
            <w:tcW w:type="dxa" w:w="2016"/>
            <w:vAlign w:val="center"/>
          </w:tcPr>
          <w:p>
            <w:r>
              <w:t>10.56%</w:t>
            </w:r>
          </w:p>
        </w:tc>
      </w:tr>
    </w:tbl>
    <w:p/>
    <w:p>
      <w:r>
        <w:t>The validation cohort has a substantially lower churn rate than the training cohort. This cohort distribution shift is an important limitation and should be monitored when the model is applied to future customer populations.</w:t>
      </w:r>
    </w:p>
    <w:p>
      <w:pPr>
        <w:pStyle w:val="Heading1"/>
      </w:pPr>
      <w:r>
        <w:t>8. Model Development and Evaluation</w:t>
      </w:r>
    </w:p>
    <w:p>
      <w:r>
        <w:t>Two primary approaches were evaluated: Logistic Regression as a transparent baseline and Random Forest as a nonlinear classifier. Class balancing was used, and evaluation focused on precision, recall, F1 and PR-AUC in addition to accuracy.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448"/>
            <w:shd w:fill="EDEDED"/>
            <w:vAlign w:val="center"/>
          </w:tcPr>
          <w:p>
            <w:r>
              <w:rPr>
                <w:b/>
              </w:rPr>
              <w:t>Model</w:t>
            </w:r>
          </w:p>
        </w:tc>
        <w:tc>
          <w:tcPr>
            <w:tcW w:type="dxa" w:w="1440"/>
            <w:shd w:fill="EDEDED"/>
            <w:vAlign w:val="center"/>
          </w:tcPr>
          <w:p>
            <w:r>
              <w:rPr>
                <w:b/>
              </w:rPr>
              <w:t>Accuracy</w:t>
            </w:r>
          </w:p>
        </w:tc>
        <w:tc>
          <w:tcPr>
            <w:tcW w:type="dxa" w:w="1440"/>
            <w:shd w:fill="EDEDED"/>
            <w:vAlign w:val="center"/>
          </w:tcPr>
          <w:p>
            <w:r>
              <w:rPr>
                <w:b/>
              </w:rPr>
              <w:t>Precision</w:t>
            </w:r>
          </w:p>
        </w:tc>
        <w:tc>
          <w:tcPr>
            <w:tcW w:type="dxa" w:w="1440"/>
            <w:shd w:fill="EDEDED"/>
            <w:vAlign w:val="center"/>
          </w:tcPr>
          <w:p>
            <w:r>
              <w:rPr>
                <w:b/>
              </w:rPr>
              <w:t>Recall</w:t>
            </w:r>
          </w:p>
        </w:tc>
        <w:tc>
          <w:tcPr>
            <w:tcW w:type="dxa" w:w="1440"/>
            <w:shd w:fill="EDEDED"/>
            <w:vAlign w:val="center"/>
          </w:tcPr>
          <w:p>
            <w:r>
              <w:rPr>
                <w:b/>
              </w:rPr>
              <w:t>F1</w:t>
            </w:r>
          </w:p>
        </w:tc>
        <w:tc>
          <w:tcPr>
            <w:tcW w:type="dxa" w:w="1440"/>
            <w:shd w:fill="EDEDED"/>
            <w:vAlign w:val="center"/>
          </w:tcPr>
          <w:p>
            <w:r>
              <w:rPr>
                <w:b/>
              </w:rPr>
              <w:t>PR-AUC</w:t>
            </w:r>
          </w:p>
        </w:tc>
      </w:tr>
      <w:tr>
        <w:tc>
          <w:tcPr>
            <w:tcW w:type="dxa" w:w="2448"/>
            <w:vAlign w:val="center"/>
          </w:tcPr>
          <w:p>
            <w:r>
              <w:t>Logistic Regression</w:t>
            </w:r>
          </w:p>
        </w:tc>
        <w:tc>
          <w:tcPr>
            <w:tcW w:type="dxa" w:w="1440"/>
            <w:vAlign w:val="center"/>
          </w:tcPr>
          <w:p>
            <w:r>
              <w:t>0.8652</w:t>
            </w:r>
          </w:p>
        </w:tc>
        <w:tc>
          <w:tcPr>
            <w:tcW w:type="dxa" w:w="1440"/>
            <w:vAlign w:val="center"/>
          </w:tcPr>
          <w:p>
            <w:r>
              <w:t>0.4217</w:t>
            </w:r>
          </w:p>
        </w:tc>
        <w:tc>
          <w:tcPr>
            <w:tcW w:type="dxa" w:w="1440"/>
            <w:vAlign w:val="center"/>
          </w:tcPr>
          <w:p>
            <w:r>
              <w:t>0.7447</w:t>
            </w:r>
          </w:p>
        </w:tc>
        <w:tc>
          <w:tcPr>
            <w:tcW w:type="dxa" w:w="1440"/>
            <w:vAlign w:val="center"/>
          </w:tcPr>
          <w:p>
            <w:r>
              <w:t>0.5385</w:t>
            </w:r>
          </w:p>
        </w:tc>
        <w:tc>
          <w:tcPr>
            <w:tcW w:type="dxa" w:w="1440"/>
            <w:vAlign w:val="center"/>
          </w:tcPr>
          <w:p>
            <w:r>
              <w:t>0.6204</w:t>
            </w:r>
          </w:p>
        </w:tc>
      </w:tr>
      <w:tr>
        <w:tc>
          <w:tcPr>
            <w:tcW w:type="dxa" w:w="2448"/>
            <w:vAlign w:val="center"/>
          </w:tcPr>
          <w:p>
            <w:r>
              <w:t>Random Forest</w:t>
            </w:r>
          </w:p>
        </w:tc>
        <w:tc>
          <w:tcPr>
            <w:tcW w:type="dxa" w:w="1440"/>
            <w:vAlign w:val="center"/>
          </w:tcPr>
          <w:p>
            <w:r>
              <w:t>0.7596</w:t>
            </w:r>
          </w:p>
        </w:tc>
        <w:tc>
          <w:tcPr>
            <w:tcW w:type="dxa" w:w="1440"/>
            <w:vAlign w:val="center"/>
          </w:tcPr>
          <w:p>
            <w:r>
              <w:t>0.2581</w:t>
            </w:r>
          </w:p>
        </w:tc>
        <w:tc>
          <w:tcPr>
            <w:tcW w:type="dxa" w:w="1440"/>
            <w:vAlign w:val="center"/>
          </w:tcPr>
          <w:p>
            <w:r>
              <w:t>0.6809</w:t>
            </w:r>
          </w:p>
        </w:tc>
        <w:tc>
          <w:tcPr>
            <w:tcW w:type="dxa" w:w="1440"/>
            <w:vAlign w:val="center"/>
          </w:tcPr>
          <w:p>
            <w:r>
              <w:t>0.3743</w:t>
            </w:r>
          </w:p>
        </w:tc>
        <w:tc>
          <w:tcPr>
            <w:tcW w:type="dxa" w:w="1440"/>
            <w:vAlign w:val="center"/>
          </w:tcPr>
          <w:p>
            <w:r>
              <w:t>0.6619</w:t>
            </w:r>
          </w:p>
        </w:tc>
      </w:tr>
    </w:tbl>
    <w:p/>
    <w:p>
      <w:r>
        <w:t>The model-selection workflow also examined operating thresholds rather than treating 0.50 as automatically optimal. A 0.70 probability threshold was used for the high-risk retention scenario because it provided a high-precision operating point in the evaluated Random Forest threshold analysis.</w:t>
      </w:r>
    </w:p>
    <w:p>
      <w:r>
        <w:t>Because recency and rolling features were subsequently added to the feature dataset, the latest regenerated model output files should be treated as the authoritative final results if their metrics differ from the earlier comparison shown above.</w:t>
      </w:r>
    </w:p>
    <w:p>
      <w:pPr>
        <w:pStyle w:val="Heading1"/>
      </w:pPr>
      <w:r>
        <w:t>9. Explainability and Churn Drivers</w:t>
      </w:r>
    </w:p>
    <w:p>
      <w:r>
        <w:t>Feature-importance analysis indicated that recent behavioural change and engagement variables were among the strongest predictive signals.</w:t>
      </w:r>
    </w:p>
    <w:tbl>
      <w:tblPr>
        <w:tblStyle w:val="TableGrid"/>
        <w:tblW w:type="auto" w:w="0"/>
        <w:jc w:val="center"/>
        <w:tblLook w:firstColumn="1" w:firstRow="1" w:lastColumn="0" w:lastRow="0" w:noHBand="0" w:noVBand="1" w:val="04A0"/>
      </w:tblPr>
      <w:tblGrid>
        <w:gridCol w:w="5040"/>
        <w:gridCol w:w="5040"/>
      </w:tblGrid>
      <w:tr>
        <w:tc>
          <w:tcPr>
            <w:tcW w:type="dxa" w:w="1440"/>
            <w:shd w:fill="EDEDED"/>
            <w:vAlign w:val="center"/>
          </w:tcPr>
          <w:p>
            <w:r>
              <w:rPr>
                <w:b/>
              </w:rPr>
              <w:t>Rank</w:t>
            </w:r>
          </w:p>
        </w:tc>
        <w:tc>
          <w:tcPr>
            <w:tcW w:type="dxa" w:w="7920"/>
            <w:shd w:fill="EDEDED"/>
            <w:vAlign w:val="center"/>
          </w:tcPr>
          <w:p>
            <w:r>
              <w:rPr>
                <w:b/>
              </w:rPr>
              <w:t>Feature</w:t>
            </w:r>
          </w:p>
        </w:tc>
      </w:tr>
      <w:tr>
        <w:tc>
          <w:tcPr>
            <w:tcW w:type="dxa" w:w="1440"/>
            <w:vAlign w:val="center"/>
          </w:tcPr>
          <w:p>
            <w:r>
              <w:t>1</w:t>
            </w:r>
          </w:p>
        </w:tc>
        <w:tc>
          <w:tcPr>
            <w:tcW w:type="dxa" w:w="7920"/>
            <w:vAlign w:val="center"/>
          </w:tcPr>
          <w:p>
            <w:r>
              <w:t>transaction_change</w:t>
            </w:r>
          </w:p>
        </w:tc>
      </w:tr>
      <w:tr>
        <w:tc>
          <w:tcPr>
            <w:tcW w:type="dxa" w:w="1440"/>
            <w:vAlign w:val="center"/>
          </w:tcPr>
          <w:p>
            <w:r>
              <w:t>2</w:t>
            </w:r>
          </w:p>
        </w:tc>
        <w:tc>
          <w:tcPr>
            <w:tcW w:type="dxa" w:w="7920"/>
            <w:vAlign w:val="center"/>
          </w:tcPr>
          <w:p>
            <w:r>
              <w:t>spend_change</w:t>
            </w:r>
          </w:p>
        </w:tc>
      </w:tr>
      <w:tr>
        <w:tc>
          <w:tcPr>
            <w:tcW w:type="dxa" w:w="1440"/>
            <w:vAlign w:val="center"/>
          </w:tcPr>
          <w:p>
            <w:r>
              <w:t>3</w:t>
            </w:r>
          </w:p>
        </w:tc>
        <w:tc>
          <w:tcPr>
            <w:tcW w:type="dxa" w:w="7920"/>
            <w:vAlign w:val="center"/>
          </w:tcPr>
          <w:p>
            <w:r>
              <w:t>recent_transactions</w:t>
            </w:r>
          </w:p>
        </w:tc>
      </w:tr>
      <w:tr>
        <w:tc>
          <w:tcPr>
            <w:tcW w:type="dxa" w:w="1440"/>
            <w:vAlign w:val="center"/>
          </w:tcPr>
          <w:p>
            <w:r>
              <w:t>4</w:t>
            </w:r>
          </w:p>
        </w:tc>
        <w:tc>
          <w:tcPr>
            <w:tcW w:type="dxa" w:w="7920"/>
            <w:vAlign w:val="center"/>
          </w:tcPr>
          <w:p>
            <w:r>
              <w:t>app_session_change</w:t>
            </w:r>
          </w:p>
        </w:tc>
      </w:tr>
      <w:tr>
        <w:tc>
          <w:tcPr>
            <w:tcW w:type="dxa" w:w="1440"/>
            <w:vAlign w:val="center"/>
          </w:tcPr>
          <w:p>
            <w:r>
              <w:t>5</w:t>
            </w:r>
          </w:p>
        </w:tc>
        <w:tc>
          <w:tcPr>
            <w:tcW w:type="dxa" w:w="7920"/>
            <w:vAlign w:val="center"/>
          </w:tcPr>
          <w:p>
            <w:r>
              <w:t>recent_spend</w:t>
            </w:r>
          </w:p>
        </w:tc>
      </w:tr>
      <w:tr>
        <w:tc>
          <w:tcPr>
            <w:tcW w:type="dxa" w:w="1440"/>
            <w:vAlign w:val="center"/>
          </w:tcPr>
          <w:p>
            <w:r>
              <w:t>6</w:t>
            </w:r>
          </w:p>
        </w:tc>
        <w:tc>
          <w:tcPr>
            <w:tcW w:type="dxa" w:w="7920"/>
            <w:vAlign w:val="center"/>
          </w:tcPr>
          <w:p>
            <w:r>
              <w:t>recent_app_sessions</w:t>
            </w:r>
          </w:p>
        </w:tc>
      </w:tr>
      <w:tr>
        <w:tc>
          <w:tcPr>
            <w:tcW w:type="dxa" w:w="1440"/>
            <w:vAlign w:val="center"/>
          </w:tcPr>
          <w:p>
            <w:r>
              <w:t>7</w:t>
            </w:r>
          </w:p>
        </w:tc>
        <w:tc>
          <w:tcPr>
            <w:tcW w:type="dxa" w:w="7920"/>
            <w:vAlign w:val="center"/>
          </w:tcPr>
          <w:p>
            <w:r>
              <w:t>recent_coupons</w:t>
            </w:r>
          </w:p>
        </w:tc>
      </w:tr>
      <w:tr>
        <w:tc>
          <w:tcPr>
            <w:tcW w:type="dxa" w:w="1440"/>
            <w:vAlign w:val="center"/>
          </w:tcPr>
          <w:p>
            <w:r>
              <w:t>8</w:t>
            </w:r>
          </w:p>
        </w:tc>
        <w:tc>
          <w:tcPr>
            <w:tcW w:type="dxa" w:w="7920"/>
            <w:vAlign w:val="center"/>
          </w:tcPr>
          <w:p>
            <w:r>
              <w:t>recent_emails_opened</w:t>
            </w:r>
          </w:p>
        </w:tc>
      </w:tr>
      <w:tr>
        <w:tc>
          <w:tcPr>
            <w:tcW w:type="dxa" w:w="1440"/>
            <w:vAlign w:val="center"/>
          </w:tcPr>
          <w:p>
            <w:r>
              <w:t>9</w:t>
            </w:r>
          </w:p>
        </w:tc>
        <w:tc>
          <w:tcPr>
            <w:tcW w:type="dxa" w:w="7920"/>
            <w:vAlign w:val="center"/>
          </w:tcPr>
          <w:p>
            <w:r>
              <w:t>active_months</w:t>
            </w:r>
          </w:p>
        </w:tc>
      </w:tr>
      <w:tr>
        <w:tc>
          <w:tcPr>
            <w:tcW w:type="dxa" w:w="1440"/>
            <w:vAlign w:val="center"/>
          </w:tcPr>
          <w:p>
            <w:r>
              <w:t>10</w:t>
            </w:r>
          </w:p>
        </w:tc>
        <w:tc>
          <w:tcPr>
            <w:tcW w:type="dxa" w:w="7920"/>
            <w:vAlign w:val="center"/>
          </w:tcPr>
          <w:p>
            <w:r>
              <w:t>total_transactions</w:t>
            </w:r>
          </w:p>
        </w:tc>
      </w:tr>
    </w:tbl>
    <w:p/>
    <w:p>
      <w:r>
        <w:t>Additional SHAP-based outputs are stored in shap_feature_importance.csv and top_20_shap_features.csv. These explanations identify predictive associations and should not be interpreted as causal effects.</w:t>
      </w:r>
    </w:p>
    <w:p>
      <w:pPr>
        <w:pStyle w:val="Heading1"/>
      </w:pPr>
      <w:r>
        <w:t>10. Risk Segmentation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shd w:fill="EDEDED"/>
            <w:vAlign w:val="center"/>
          </w:tcPr>
          <w:p>
            <w:r>
              <w:rPr>
                <w:b/>
              </w:rPr>
              <w:t>Tier</w:t>
            </w:r>
          </w:p>
        </w:tc>
        <w:tc>
          <w:tcPr>
            <w:tcW w:type="dxa" w:w="2160"/>
            <w:shd w:fill="EDEDED"/>
            <w:vAlign w:val="center"/>
          </w:tcPr>
          <w:p>
            <w:r>
              <w:rPr>
                <w:b/>
              </w:rPr>
              <w:t>Customers</w:t>
            </w:r>
          </w:p>
        </w:tc>
        <w:tc>
          <w:tcPr>
            <w:tcW w:type="dxa" w:w="2160"/>
            <w:shd w:fill="EDEDED"/>
            <w:vAlign w:val="center"/>
          </w:tcPr>
          <w:p>
            <w:r>
              <w:rPr>
                <w:b/>
              </w:rPr>
              <w:t>Churned</w:t>
            </w:r>
          </w:p>
        </w:tc>
        <w:tc>
          <w:tcPr>
            <w:tcW w:type="dxa" w:w="2016"/>
            <w:shd w:fill="EDEDED"/>
            <w:vAlign w:val="center"/>
          </w:tcPr>
          <w:p>
            <w:r>
              <w:rPr>
                <w:b/>
              </w:rPr>
              <w:t>Churn rate</w:t>
            </w:r>
          </w:p>
        </w:tc>
      </w:tr>
      <w:tr>
        <w:tc>
          <w:tcPr>
            <w:tcW w:type="dxa" w:w="3024"/>
            <w:vAlign w:val="center"/>
          </w:tcPr>
          <w:p>
            <w:r>
              <w:t>Gold</w:t>
            </w:r>
          </w:p>
        </w:tc>
        <w:tc>
          <w:tcPr>
            <w:tcW w:type="dxa" w:w="2160"/>
            <w:vAlign w:val="center"/>
          </w:tcPr>
          <w:p>
            <w:r>
              <w:t>697</w:t>
            </w:r>
          </w:p>
        </w:tc>
        <w:tc>
          <w:tcPr>
            <w:tcW w:type="dxa" w:w="2160"/>
            <w:vAlign w:val="center"/>
          </w:tcPr>
          <w:p>
            <w:r>
              <w:t>195</w:t>
            </w:r>
          </w:p>
        </w:tc>
        <w:tc>
          <w:tcPr>
            <w:tcW w:type="dxa" w:w="2016"/>
            <w:vAlign w:val="center"/>
          </w:tcPr>
          <w:p>
            <w:r>
              <w:t>27.98%</w:t>
            </w:r>
          </w:p>
        </w:tc>
      </w:tr>
      <w:tr>
        <w:tc>
          <w:tcPr>
            <w:tcW w:type="dxa" w:w="3024"/>
            <w:vAlign w:val="center"/>
          </w:tcPr>
          <w:p>
            <w:r>
              <w:t>Platinum</w:t>
            </w:r>
          </w:p>
        </w:tc>
        <w:tc>
          <w:tcPr>
            <w:tcW w:type="dxa" w:w="2160"/>
            <w:vAlign w:val="center"/>
          </w:tcPr>
          <w:p>
            <w:r>
              <w:t>260</w:t>
            </w:r>
          </w:p>
        </w:tc>
        <w:tc>
          <w:tcPr>
            <w:tcW w:type="dxa" w:w="2160"/>
            <w:vAlign w:val="center"/>
          </w:tcPr>
          <w:p>
            <w:r>
              <w:t>77</w:t>
            </w:r>
          </w:p>
        </w:tc>
        <w:tc>
          <w:tcPr>
            <w:tcW w:type="dxa" w:w="2016"/>
            <w:vAlign w:val="center"/>
          </w:tcPr>
          <w:p>
            <w:r>
              <w:t>29.62%</w:t>
            </w:r>
          </w:p>
        </w:tc>
      </w:tr>
      <w:tr>
        <w:tc>
          <w:tcPr>
            <w:tcW w:type="dxa" w:w="3024"/>
            <w:vAlign w:val="center"/>
          </w:tcPr>
          <w:p>
            <w:r>
              <w:t>Silver</w:t>
            </w:r>
          </w:p>
        </w:tc>
        <w:tc>
          <w:tcPr>
            <w:tcW w:type="dxa" w:w="2160"/>
            <w:vAlign w:val="center"/>
          </w:tcPr>
          <w:p>
            <w:r>
              <w:t>1,268</w:t>
            </w:r>
          </w:p>
        </w:tc>
        <w:tc>
          <w:tcPr>
            <w:tcW w:type="dxa" w:w="2160"/>
            <w:vAlign w:val="center"/>
          </w:tcPr>
          <w:p>
            <w:r>
              <w:t>390</w:t>
            </w:r>
          </w:p>
        </w:tc>
        <w:tc>
          <w:tcPr>
            <w:tcW w:type="dxa" w:w="2016"/>
            <w:vAlign w:val="center"/>
          </w:tcPr>
          <w:p>
            <w:r>
              <w:t>30.76%</w:t>
            </w:r>
          </w:p>
        </w:tc>
      </w:tr>
    </w:tbl>
    <w:p/>
    <w:p>
      <w:r>
        <w:t>City-level and signup-cohort comparisons were also performed. The recent signup cohort showed lower observed churn, but it also has shorter tenure, so cohort comparisons require caution.</w:t>
      </w:r>
    </w:p>
    <w:p>
      <w:pPr>
        <w:pStyle w:val="Heading1"/>
      </w:pPr>
      <w:r>
        <w:t>11. Ablation Study</w:t>
      </w:r>
    </w:p>
    <w:p>
      <w:r>
        <w:t>An ablation experiment tested whether behavioural, engagement and support information contributed meaningful predictive value beyond demographic/profile variables.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888"/>
            <w:shd w:fill="EDEDED"/>
            <w:vAlign w:val="center"/>
          </w:tcPr>
          <w:p>
            <w:r>
              <w:rPr>
                <w:b/>
              </w:rPr>
              <w:t>Feature set</w:t>
            </w:r>
          </w:p>
        </w:tc>
        <w:tc>
          <w:tcPr>
            <w:tcW w:type="dxa" w:w="1584"/>
            <w:shd w:fill="EDEDED"/>
            <w:vAlign w:val="center"/>
          </w:tcPr>
          <w:p>
            <w:r>
              <w:rPr>
                <w:b/>
              </w:rPr>
              <w:t>Precision</w:t>
            </w:r>
          </w:p>
        </w:tc>
        <w:tc>
          <w:tcPr>
            <w:tcW w:type="dxa" w:w="1440"/>
            <w:shd w:fill="EDEDED"/>
            <w:vAlign w:val="center"/>
          </w:tcPr>
          <w:p>
            <w:r>
              <w:rPr>
                <w:b/>
              </w:rPr>
              <w:t>Recall</w:t>
            </w:r>
          </w:p>
        </w:tc>
        <w:tc>
          <w:tcPr>
            <w:tcW w:type="dxa" w:w="1440"/>
            <w:shd w:fill="EDEDED"/>
            <w:vAlign w:val="center"/>
          </w:tcPr>
          <w:p>
            <w:r>
              <w:rPr>
                <w:b/>
              </w:rPr>
              <w:t>F1</w:t>
            </w:r>
          </w:p>
        </w:tc>
        <w:tc>
          <w:tcPr>
            <w:tcW w:type="dxa" w:w="1440"/>
            <w:shd w:fill="EDEDED"/>
            <w:vAlign w:val="center"/>
          </w:tcPr>
          <w:p>
            <w:r>
              <w:rPr>
                <w:b/>
              </w:rPr>
              <w:t>PR-AUC</w:t>
            </w:r>
          </w:p>
        </w:tc>
      </w:tr>
      <w:tr>
        <w:tc>
          <w:tcPr>
            <w:tcW w:type="dxa" w:w="3888"/>
            <w:vAlign w:val="center"/>
          </w:tcPr>
          <w:p>
            <w:r>
              <w:t>Demographics only</w:t>
            </w:r>
          </w:p>
        </w:tc>
        <w:tc>
          <w:tcPr>
            <w:tcW w:type="dxa" w:w="1584"/>
            <w:vAlign w:val="center"/>
          </w:tcPr>
          <w:p>
            <w:r>
              <w:t>0.0000</w:t>
            </w:r>
          </w:p>
        </w:tc>
        <w:tc>
          <w:tcPr>
            <w:tcW w:type="dxa" w:w="1440"/>
            <w:vAlign w:val="center"/>
          </w:tcPr>
          <w:p>
            <w:r>
              <w:t>0.0000</w:t>
            </w:r>
          </w:p>
        </w:tc>
        <w:tc>
          <w:tcPr>
            <w:tcW w:type="dxa" w:w="1440"/>
            <w:vAlign w:val="center"/>
          </w:tcPr>
          <w:p>
            <w:r>
              <w:t>0.0000</w:t>
            </w:r>
          </w:p>
        </w:tc>
        <w:tc>
          <w:tcPr>
            <w:tcW w:type="dxa" w:w="1440"/>
            <w:vAlign w:val="center"/>
          </w:tcPr>
          <w:p>
            <w:r>
              <w:t>0.0965</w:t>
            </w:r>
          </w:p>
        </w:tc>
      </w:tr>
      <w:tr>
        <w:tc>
          <w:tcPr>
            <w:tcW w:type="dxa" w:w="3888"/>
            <w:vAlign w:val="center"/>
          </w:tcPr>
          <w:p>
            <w:r>
              <w:t>Behavioural + Engagement + Support</w:t>
            </w:r>
          </w:p>
        </w:tc>
        <w:tc>
          <w:tcPr>
            <w:tcW w:type="dxa" w:w="1584"/>
            <w:vAlign w:val="center"/>
          </w:tcPr>
          <w:p>
            <w:r>
              <w:t>0.8846</w:t>
            </w:r>
          </w:p>
        </w:tc>
        <w:tc>
          <w:tcPr>
            <w:tcW w:type="dxa" w:w="1440"/>
            <w:vAlign w:val="center"/>
          </w:tcPr>
          <w:p>
            <w:r>
              <w:t>0.4894</w:t>
            </w:r>
          </w:p>
        </w:tc>
        <w:tc>
          <w:tcPr>
            <w:tcW w:type="dxa" w:w="1440"/>
            <w:vAlign w:val="center"/>
          </w:tcPr>
          <w:p>
            <w:r>
              <w:t>0.6301</w:t>
            </w:r>
          </w:p>
        </w:tc>
        <w:tc>
          <w:tcPr>
            <w:tcW w:type="dxa" w:w="1440"/>
            <w:vAlign w:val="center"/>
          </w:tcPr>
          <w:p>
            <w:r>
              <w:t>0.6619</w:t>
            </w:r>
          </w:p>
        </w:tc>
      </w:tr>
    </w:tbl>
    <w:p/>
    <w:p>
      <w:r>
        <w:t>The behavioural/engagement/support feature set was substantially more useful in this modelling setup. The demographic-only model produced no positive predictions at the selected 0.70 threshold; this does not mean demographics have no relationship with churn.</w:t>
      </w:r>
    </w:p>
    <w:p>
      <w:pPr>
        <w:pStyle w:val="Heading1"/>
      </w:pPr>
      <w:r>
        <w:t>12. Retention Scenario Simulation</w:t>
      </w:r>
    </w:p>
    <w:p>
      <w:r>
        <w:t>A targeted retention scenario was applied to customers whose predicted churn probability was at least 0.70. The simulation assumed that an intervention would reduce predicted risk by 20% relative to baseline.</w:t>
      </w:r>
    </w:p>
    <w:tbl>
      <w:tblPr>
        <w:tblStyle w:val="TableGrid"/>
        <w:tblW w:type="auto" w:w="0"/>
        <w:jc w:val="center"/>
        <w:tblLook w:firstColumn="1" w:firstRow="1" w:lastColumn="0" w:lastRow="0" w:noHBand="0" w:noVBand="1" w:val="04A0"/>
      </w:tblPr>
      <w:tblGrid>
        <w:gridCol w:w="5040"/>
        <w:gridCol w:w="5040"/>
      </w:tblGrid>
      <w:tr>
        <w:tc>
          <w:tcPr>
            <w:tcW w:type="dxa" w:w="5904"/>
            <w:shd w:fill="EDEDED"/>
            <w:vAlign w:val="center"/>
          </w:tcPr>
          <w:p>
            <w:r>
              <w:rPr>
                <w:b/>
              </w:rPr>
              <w:t>Metric</w:t>
            </w:r>
          </w:p>
        </w:tc>
        <w:tc>
          <w:tcPr>
            <w:tcW w:type="dxa" w:w="3456"/>
            <w:shd w:fill="EDEDED"/>
            <w:vAlign w:val="center"/>
          </w:tcPr>
          <w:p>
            <w:r>
              <w:rPr>
                <w:b/>
              </w:rPr>
              <w:t>Result</w:t>
            </w:r>
          </w:p>
        </w:tc>
      </w:tr>
      <w:tr>
        <w:tc>
          <w:tcPr>
            <w:tcW w:type="dxa" w:w="5904"/>
            <w:vAlign w:val="center"/>
          </w:tcPr>
          <w:p>
            <w:r>
              <w:t>High-risk customers</w:t>
            </w:r>
          </w:p>
        </w:tc>
        <w:tc>
          <w:tcPr>
            <w:tcW w:type="dxa" w:w="3456"/>
            <w:vAlign w:val="center"/>
          </w:tcPr>
          <w:p>
            <w:r>
              <w:t>26</w:t>
            </w:r>
          </w:p>
        </w:tc>
      </w:tr>
      <w:tr>
        <w:tc>
          <w:tcPr>
            <w:tcW w:type="dxa" w:w="5904"/>
            <w:vAlign w:val="center"/>
          </w:tcPr>
          <w:p>
            <w:r>
              <w:t>Average churn probability before</w:t>
            </w:r>
          </w:p>
        </w:tc>
        <w:tc>
          <w:tcPr>
            <w:tcW w:type="dxa" w:w="3456"/>
            <w:vAlign w:val="center"/>
          </w:tcPr>
          <w:p>
            <w:r>
              <w:t>88.09%</w:t>
            </w:r>
          </w:p>
        </w:tc>
      </w:tr>
      <w:tr>
        <w:tc>
          <w:tcPr>
            <w:tcW w:type="dxa" w:w="5904"/>
            <w:vAlign w:val="center"/>
          </w:tcPr>
          <w:p>
            <w:r>
              <w:t>Average churn probability after</w:t>
            </w:r>
          </w:p>
        </w:tc>
        <w:tc>
          <w:tcPr>
            <w:tcW w:type="dxa" w:w="3456"/>
            <w:vAlign w:val="center"/>
          </w:tcPr>
          <w:p>
            <w:r>
              <w:t>70.47%</w:t>
            </w:r>
          </w:p>
        </w:tc>
      </w:tr>
      <w:tr>
        <w:tc>
          <w:tcPr>
            <w:tcW w:type="dxa" w:w="5904"/>
            <w:vAlign w:val="center"/>
          </w:tcPr>
          <w:p>
            <w:r>
              <w:t>Average risk reduction</w:t>
            </w:r>
          </w:p>
        </w:tc>
        <w:tc>
          <w:tcPr>
            <w:tcW w:type="dxa" w:w="3456"/>
            <w:vAlign w:val="center"/>
          </w:tcPr>
          <w:p>
            <w:r>
              <w:t>17.62 percentage points</w:t>
            </w:r>
          </w:p>
        </w:tc>
      </w:tr>
      <w:tr>
        <w:tc>
          <w:tcPr>
            <w:tcW w:type="dxa" w:w="5904"/>
            <w:vAlign w:val="center"/>
          </w:tcPr>
          <w:p>
            <w:r>
              <w:t>Estimated customers moved below 0.70 risk</w:t>
            </w:r>
          </w:p>
        </w:tc>
        <w:tc>
          <w:tcPr>
            <w:tcW w:type="dxa" w:w="3456"/>
            <w:vAlign w:val="center"/>
          </w:tcPr>
          <w:p>
            <w:r>
              <w:t>13</w:t>
            </w:r>
          </w:p>
        </w:tc>
      </w:tr>
    </w:tbl>
    <w:p/>
    <w:p>
      <w:r>
        <w:t>This analysis is a scenario simulation rather than causal evidence. The assumed 20% relative reduction must be validated through an actual retention campaign or controlled experiment.</w:t>
      </w:r>
    </w:p>
    <w:p>
      <w:pPr>
        <w:pStyle w:val="Heading1"/>
      </w:pPr>
      <w:r>
        <w:t>13. Deliverables and Outputs</w:t>
      </w:r>
    </w:p>
    <w:p>
      <w:pPr>
        <w:pStyle w:val="ListBullet"/>
      </w:pPr>
      <w:r>
        <w:t>Eight reproducible notebooks covering data quality, EDA, feature engineering, validation, modelling, explainability, ablation and retention simulation.</w:t>
      </w:r>
    </w:p>
    <w:p>
      <w:pPr>
        <w:pStyle w:val="ListBullet"/>
      </w:pPr>
      <w:r>
        <w:t>Cleaned datasets under data/processed/.</w:t>
      </w:r>
    </w:p>
    <w:p>
      <w:pPr>
        <w:pStyle w:val="ListBullet"/>
      </w:pPr>
      <w:r>
        <w:t>churn_predictions.csv for customer-level churn probabilities and labels.</w:t>
      </w:r>
    </w:p>
    <w:p>
      <w:pPr>
        <w:pStyle w:val="ListBullet"/>
      </w:pPr>
      <w:r>
        <w:t>churn_predictions_with_reasons.csv for customer-level predictions with available reason information.</w:t>
      </w:r>
    </w:p>
    <w:p>
      <w:pPr>
        <w:pStyle w:val="ListBullet"/>
      </w:pPr>
      <w:r>
        <w:t>model_comparison.csv for model evaluation.</w:t>
      </w:r>
    </w:p>
    <w:p>
      <w:pPr>
        <w:pStyle w:val="ListBullet"/>
      </w:pPr>
      <w:r>
        <w:t>ablation_results.csv for the feature-group comparison.</w:t>
      </w:r>
    </w:p>
    <w:p>
      <w:pPr>
        <w:pStyle w:val="ListBullet"/>
      </w:pPr>
      <w:r>
        <w:t>shap_feature_importance.csv and top_20_shap_features.csv for explainability.</w:t>
      </w:r>
    </w:p>
    <w:p>
      <w:pPr>
        <w:pStyle w:val="ListBullet"/>
      </w:pPr>
      <w:r>
        <w:t>retention_simulation_customers.csv, retention_offer_simulation.csv and retention_risk_summary.csv for retention analysis.</w:t>
      </w:r>
    </w:p>
    <w:p>
      <w:pPr>
        <w:pStyle w:val="ListBullet"/>
      </w:pPr>
      <w:r>
        <w:t>customer_month_gaps.csv, cleaning_log.csv and eda_segment_summary.csv for data-quality and analysis evidence.</w:t>
      </w:r>
    </w:p>
    <w:p>
      <w:pPr>
        <w:pStyle w:val="ListBullet"/>
      </w:pPr>
      <w:r>
        <w:t>Saved model artifacts including the XGBoost model, preprocessing pipeline and calibration artifacts present in outputs/.</w:t>
      </w:r>
    </w:p>
    <w:p>
      <w:pPr>
        <w:pStyle w:val="Heading1"/>
      </w:pPr>
      <w:r>
        <w:t>14. Business Recommendations</w:t>
      </w:r>
    </w:p>
    <w:p>
      <w:pPr>
        <w:pStyle w:val="ListBullet"/>
      </w:pPr>
      <w:r>
        <w:t>Prioritise recent behavioural deterioration when identifying customers for retention.</w:t>
      </w:r>
    </w:p>
    <w:p>
      <w:pPr>
        <w:pStyle w:val="ListBullet"/>
      </w:pPr>
      <w:r>
        <w:t>Monitor declining transaction and spending patterns as early warning indicators.</w:t>
      </w:r>
    </w:p>
    <w:p>
      <w:pPr>
        <w:pStyle w:val="ListBullet"/>
      </w:pPr>
      <w:r>
        <w:t>Use app, email and coupon engagement as supporting signals.</w:t>
      </w:r>
    </w:p>
    <w:p>
      <w:pPr>
        <w:pStyle w:val="ListBullet"/>
      </w:pPr>
      <w:r>
        <w:t>Pay attention to elevated or changing support-ticket activity and consider proactive outreach.</w:t>
      </w:r>
    </w:p>
    <w:p>
      <w:pPr>
        <w:pStyle w:val="ListBullet"/>
      </w:pPr>
      <w:r>
        <w:t>Target retention offers toward high-probability churn customers rather than the entire loyalty base.</w:t>
      </w:r>
    </w:p>
    <w:p>
      <w:pPr>
        <w:pStyle w:val="ListBullet"/>
      </w:pPr>
      <w:r>
        <w:t>Choose the operating threshold based on the cost of contacting false positives versus the cost of missing true churners.</w:t>
      </w:r>
    </w:p>
    <w:p>
      <w:pPr>
        <w:pStyle w:val="ListBullet"/>
      </w:pPr>
      <w:r>
        <w:t>Evaluate actual retention outcomes through controlled experiments and replace simulation assumptions with observed treatment effects.</w:t>
      </w:r>
    </w:p>
    <w:p>
      <w:pPr>
        <w:pStyle w:val="Heading1"/>
      </w:pPr>
      <w:r>
        <w:t>15. Limitations and Assumptions</w:t>
      </w:r>
    </w:p>
    <w:p>
      <w:pPr>
        <w:pStyle w:val="ListBullet"/>
      </w:pPr>
      <w:r>
        <w:t>The validation cohort has a much lower churn rate than the training cohort.</w:t>
      </w:r>
    </w:p>
    <w:p>
      <w:pPr>
        <w:pStyle w:val="ListBullet"/>
      </w:pPr>
      <w:r>
        <w:t>There are internal customer-month gaps in the source activity data; activity completeness should be reviewed with the source-system owner.</w:t>
      </w:r>
    </w:p>
    <w:p>
      <w:pPr>
        <w:pStyle w:val="ListBullet"/>
      </w:pPr>
      <w:r>
        <w:t>Negative-spend removal and duplicate resolution are modelling assumptions.</w:t>
      </w:r>
    </w:p>
    <w:p>
      <w:pPr>
        <w:pStyle w:val="ListBullet"/>
      </w:pPr>
      <w:r>
        <w:t>Missing age was median-imputed and missing gender was represented as Unknown.</w:t>
      </w:r>
    </w:p>
    <w:p>
      <w:pPr>
        <w:pStyle w:val="ListBullet"/>
      </w:pPr>
      <w:r>
        <w:t>The all-missing home-store-price-tier variable was removed.</w:t>
      </w:r>
    </w:p>
    <w:p>
      <w:pPr>
        <w:pStyle w:val="ListBullet"/>
      </w:pPr>
      <w:r>
        <w:t>Feature importance and SHAP describe predictive relationships, not causality.</w:t>
      </w:r>
    </w:p>
    <w:p>
      <w:pPr>
        <w:pStyle w:val="ListBullet"/>
      </w:pPr>
      <w:r>
        <w:t>The retention simulation assumes intervention effectiveness and does not prove that an offer reduces churn.</w:t>
      </w:r>
    </w:p>
    <w:p>
      <w:pPr>
        <w:pStyle w:val="ListBullet"/>
      </w:pPr>
      <w:r>
        <w:t>Future deployment should include monitoring for data drift, calibration, cohort shift and changing churn prevalence.</w:t>
      </w:r>
    </w:p>
    <w:p>
      <w:pPr>
        <w:pStyle w:val="Heading1"/>
      </w:pPr>
      <w:r>
        <w:t>16. Conclusion</w:t>
      </w:r>
    </w:p>
    <w:p>
      <w:r>
        <w:t>The FreshBasket project delivers a complete customer churn analytics workflow from data-quality assessment through actionable retention analysis. The modelling framework uses pre-label customer behaviour, cohort-based validation, class-aware evaluation and explainability to identify customers at elevated risk.</w:t>
      </w:r>
    </w:p>
    <w:p>
      <w:r>
        <w:t>The strongest practical message is that recent behavioural and engagement changes are more informative than demographics alone in the tested modelling setup. This gives FreshBasket a basis for moving from broad retention campaigns toward targeted interventions. Before production deployment, the model should be evaluated on future time periods and retention actions should be tested experimentally to establish real-world uplift and return on investment.</w:t>
      </w:r>
    </w:p>
    <w:p>
      <w:pPr>
        <w:pStyle w:val="Heading1"/>
      </w:pPr>
      <w:r>
        <w:t>Appendix A – Execution Order</w:t>
      </w:r>
    </w:p>
    <w:p>
      <w:r>
        <w:t>Run the notebooks in the following order:</w:t>
      </w:r>
    </w:p>
    <w:p>
      <w:pPr>
        <w:pStyle w:val="ListBullet"/>
      </w:pPr>
      <w:r>
        <w:t>01_data_quality.ipynb</w:t>
      </w:r>
    </w:p>
    <w:p>
      <w:pPr>
        <w:pStyle w:val="ListBullet"/>
      </w:pPr>
      <w:r>
        <w:t>02_eda.ipynb</w:t>
      </w:r>
    </w:p>
    <w:p>
      <w:pPr>
        <w:pStyle w:val="ListBullet"/>
      </w:pPr>
      <w:r>
        <w:t>03_feature_engineering.ipynb</w:t>
      </w:r>
    </w:p>
    <w:p>
      <w:pPr>
        <w:pStyle w:val="ListBullet"/>
      </w:pPr>
      <w:r>
        <w:t>04_validation_setup.ipynb</w:t>
      </w:r>
    </w:p>
    <w:p>
      <w:pPr>
        <w:pStyle w:val="ListBullet"/>
      </w:pPr>
      <w:r>
        <w:t>05_models.ipynb</w:t>
      </w:r>
    </w:p>
    <w:p>
      <w:pPr>
        <w:pStyle w:val="ListBullet"/>
      </w:pPr>
      <w:r>
        <w:t>06_explainability.ipynb</w:t>
      </w:r>
    </w:p>
    <w:p>
      <w:pPr>
        <w:pStyle w:val="ListBullet"/>
      </w:pPr>
      <w:r>
        <w:t>07_ablation.ipynb</w:t>
      </w:r>
    </w:p>
    <w:p>
      <w:pPr>
        <w:pStyle w:val="ListBullet"/>
      </w:pPr>
      <w:r>
        <w:t>08_retention_simulation.ipynb</w:t>
      </w:r>
    </w:p>
    <w:p>
      <w:pPr>
        <w:pStyle w:val="Heading1"/>
      </w:pPr>
      <w:r>
        <w:t>Appendix B – Project Folder</w:t>
      </w:r>
    </w:p>
    <w:p>
      <w:r>
        <w:t>The final project is organised under FreshBasket-Churn/ with data, notebooks, outputs, source code, environment requirements, and README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