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3516F">
      <w:pPr>
        <w:spacing w:before="0" w:after="120"/>
        <w:jc w:val="center"/>
      </w:pPr>
      <w:r>
        <w:rPr>
          <w:rFonts w:ascii="Times New Roman" w:hAnsi="Times New Roman" w:eastAsia="Times New Roman" w:cs="Times New Roman"/>
          <w:b/>
          <w:bCs/>
          <w:sz w:val="32"/>
          <w:szCs w:val="32"/>
        </w:rPr>
        <w:t>Design, Analysis</w:t>
      </w:r>
      <w:r>
        <w:rPr>
          <w:rFonts w:cs="Times New Roman"/>
          <w:b/>
          <w:bCs/>
          <w:sz w:val="32"/>
          <w:szCs w:val="32"/>
          <w:lang w:val="en"/>
          <w:woUserID w:val="1"/>
        </w:rPr>
        <w:t xml:space="preserve"> </w:t>
      </w:r>
      <w:r>
        <w:rPr>
          <w:rFonts w:ascii="Times New Roman" w:hAnsi="Times New Roman" w:eastAsia="Times New Roman" w:cs="Times New Roman"/>
          <w:b/>
          <w:bCs/>
          <w:sz w:val="32"/>
          <w:szCs w:val="32"/>
        </w:rPr>
        <w:t>and Control of Isolated Power Supply for DC Microgrid Applications</w:t>
      </w:r>
    </w:p>
    <w:p w14:paraId="2820200E">
      <w:pPr>
        <w:spacing w:before="0" w:after="40"/>
        <w:jc w:val="center"/>
        <w:rPr>
          <w:rFonts w:hint="default"/>
          <w:lang w:val="en"/>
          <w:woUserID w:val="2"/>
        </w:rPr>
      </w:pPr>
      <w:r>
        <w:rPr>
          <w:rFonts w:ascii="Times New Roman" w:hAnsi="Times New Roman" w:eastAsia="Times New Roman" w:cs="Times New Roman"/>
          <w:i/>
          <w:iCs/>
          <w:sz w:val="22"/>
          <w:szCs w:val="22"/>
        </w:rPr>
        <w:t>D.</w:t>
      </w:r>
      <w:r>
        <w:rPr>
          <w:rFonts w:cs="Times New Roman"/>
          <w:i/>
          <w:iCs/>
          <w:sz w:val="22"/>
          <w:szCs w:val="22"/>
          <w:lang w:val="en"/>
          <w:woUserID w:val="1"/>
        </w:rPr>
        <w:t xml:space="preserve"> </w:t>
      </w:r>
      <w:r>
        <w:rPr>
          <w:rFonts w:ascii="Times New Roman" w:hAnsi="Times New Roman" w:eastAsia="Times New Roman" w:cs="Times New Roman"/>
          <w:i/>
          <w:iCs/>
          <w:sz w:val="22"/>
          <w:szCs w:val="22"/>
        </w:rPr>
        <w:t>S.</w:t>
      </w:r>
      <w:r>
        <w:rPr>
          <w:rFonts w:cs="Times New Roman"/>
          <w:i/>
          <w:iCs/>
          <w:sz w:val="22"/>
          <w:szCs w:val="22"/>
          <w:lang w:val="en"/>
          <w:woUserID w:val="1"/>
        </w:rPr>
        <w:t xml:space="preserve"> </w:t>
      </w:r>
      <w:r>
        <w:rPr>
          <w:rFonts w:ascii="Times New Roman" w:hAnsi="Times New Roman" w:eastAsia="Times New Roman" w:cs="Times New Roman"/>
          <w:i/>
          <w:iCs/>
          <w:sz w:val="22"/>
          <w:szCs w:val="22"/>
        </w:rPr>
        <w:t>G. Krishn</w:t>
      </w:r>
      <w:r>
        <w:rPr>
          <w:rFonts w:cs="Times New Roman"/>
          <w:i/>
          <w:iCs/>
          <w:sz w:val="22"/>
          <w:szCs w:val="22"/>
          <w:lang w:val="en"/>
          <w:woUserID w:val="2"/>
        </w:rPr>
        <w:t xml:space="preserve">a(Asst. Prof), </w:t>
      </w:r>
      <w:r>
        <w:rPr>
          <w:rFonts w:ascii="Times New Roman" w:hAnsi="Times New Roman" w:eastAsia="Times New Roman" w:cs="Times New Roman"/>
          <w:i/>
          <w:iCs/>
          <w:sz w:val="22"/>
          <w:szCs w:val="22"/>
          <w:woUserID w:val="2"/>
        </w:rPr>
        <w:t>Md. Shoaib Ahmed</w:t>
      </w:r>
      <w:r>
        <w:rPr>
          <w:rFonts w:cs="Times New Roman"/>
          <w:i/>
          <w:iCs/>
          <w:sz w:val="22"/>
          <w:szCs w:val="22"/>
          <w:lang w:val="en"/>
          <w:woUserID w:val="2"/>
        </w:rPr>
        <w:t xml:space="preserve"> and </w:t>
      </w:r>
      <w:r>
        <w:rPr>
          <w:rFonts w:ascii="Times New Roman" w:hAnsi="Times New Roman" w:eastAsia="Times New Roman" w:cs="Times New Roman"/>
          <w:i/>
          <w:iCs/>
          <w:sz w:val="22"/>
          <w:szCs w:val="22"/>
          <w:woUserID w:val="2"/>
        </w:rPr>
        <w:t>M. Harshini</w:t>
      </w:r>
    </w:p>
    <w:p w14:paraId="24024552">
      <w:pPr>
        <w:spacing w:before="0" w:after="20"/>
        <w:jc w:val="center"/>
      </w:pPr>
      <w:r>
        <w:rPr>
          <w:rFonts w:ascii="Times New Roman" w:hAnsi="Times New Roman" w:eastAsia="Times New Roman" w:cs="Times New Roman"/>
          <w:color w:val="444444"/>
          <w:sz w:val="18"/>
          <w:szCs w:val="18"/>
        </w:rPr>
        <w:t xml:space="preserve">Department of Electrical </w:t>
      </w:r>
      <w:r>
        <w:rPr>
          <w:rFonts w:cs="Times New Roman"/>
          <w:color w:val="444444"/>
          <w:sz w:val="18"/>
          <w:szCs w:val="18"/>
          <w:lang w:val="en"/>
          <w:woUserID w:val="2"/>
        </w:rPr>
        <w:t>and</w:t>
      </w:r>
      <w:r>
        <w:rPr>
          <w:rFonts w:ascii="Times New Roman" w:hAnsi="Times New Roman" w:eastAsia="Times New Roman" w:cs="Times New Roman"/>
          <w:color w:val="444444"/>
          <w:sz w:val="18"/>
          <w:szCs w:val="18"/>
        </w:rPr>
        <w:t xml:space="preserve"> Electronics Engineering, VNR Vignana Jyothi Institute of Engineering &amp; Technology, Hyderabad, India</w:t>
      </w:r>
    </w:p>
    <w:p w14:paraId="071BBE21"/>
    <w:p w14:paraId="6DC892DA">
      <w:pPr>
        <w:sectPr>
          <w:headerReference r:id="rId3" w:type="default"/>
          <w:footerReference r:id="rId4" w:type="default"/>
          <w:type w:val="continuous"/>
          <w:pgSz w:w="12240" w:h="15840"/>
          <w:pgMar w:top="1080" w:right="900" w:bottom="1080" w:left="900" w:header="708" w:footer="708" w:gutter="0"/>
          <w:pgNumType w:fmt="decimal"/>
          <w:cols w:space="720" w:num="1"/>
          <w:docGrid w:linePitch="360" w:charSpace="0"/>
        </w:sectPr>
      </w:pPr>
    </w:p>
    <w:p w14:paraId="37A20F46">
      <w:pPr>
        <w:spacing w:before="0" w:after="80"/>
        <w:jc w:val="both"/>
        <w:rPr>
          <w:rFonts w:hint="default"/>
          <w:b/>
          <w:bCs/>
          <w:lang w:val="en"/>
          <w:woUserID w:val="1"/>
        </w:rPr>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w:t>
      </w:r>
      <w:r>
        <w:rPr>
          <w:rFonts w:ascii="Times New Roman" w:hAnsi="Times New Roman" w:eastAsia="Times New Roman" w:cs="Times New Roman"/>
          <w:b/>
          <w:bCs/>
          <w:sz w:val="18"/>
          <w:szCs w:val="18"/>
          <w:woUserID w:val="1"/>
        </w:rPr>
        <w:t>This paper presents the design, analysis, mathematical modelling, small-signal analysis, closed-loop control, and hardware implementation of four full-bridge isolated resonant DC–DC converter topologies, namely the Series Resonant Converter (SRC), Parallel Resonant Converter (PRC), LLC, and LCC, for a 560 V to 51 V, 1 kW isolated power supply intended for DC microgrid applications. First Harmonic Approximation (FHA) is employed to derive the voltage-gain characteristics and design the resonant tank components of each topology. A complete fourth-order large-signal state-space model of the LLC converter is developed from first principles and subsequently linearised to obtain a control-oriented small-signal model for frequency-domain analysis and controller design. A frequency-modulated PI controller is implemented in MATLAB/Simulink to achieve stable closed-loop output-voltage regulation while maintaining Zero Voltage Switching (ZVS) over the operating range. The performance of the SRC, PRC, LLC, and LCC converters is comparatively evaluated in terms of voltage gain, soft-switching capability, efficiency, and load regulation under identical operating conditions. The results demonstrate that the LLC converter provides superior overall performance, offering improved efficiency, wide-range ZVS operation, and enhanced load regulation compared with the other resonant topologies. Finally, a modular four-PCB hardware architecture incorporating SiC MOSFETs, galvanic isolation, sensing circuits, and isolated gate-driver supplies is presented to facilitate practical implementation. The proposed work provides a unified framework for the design, modelling, control, performance evaluation, and hardware realization of isolated resonant DC–DC converters for high-efficiency DC microgrid applications</w:t>
      </w:r>
      <w:r>
        <w:rPr>
          <w:rFonts w:cs="Times New Roman"/>
          <w:b/>
          <w:bCs/>
          <w:sz w:val="18"/>
          <w:szCs w:val="18"/>
          <w:lang w:val="en"/>
          <w:woUserID w:val="1"/>
        </w:rPr>
        <w:t>.</w:t>
      </w:r>
    </w:p>
    <w:p w14:paraId="3750FCB7">
      <w:pPr>
        <w:spacing w:before="0" w:after="160"/>
        <w:jc w:val="both"/>
      </w:pPr>
      <w:r>
        <w:rPr>
          <w:rFonts w:ascii="Times New Roman" w:hAnsi="Times New Roman" w:eastAsia="Times New Roman" w:cs="Times New Roman"/>
          <w:b/>
          <w:bCs/>
          <w:i/>
          <w:iCs/>
          <w:sz w:val="18"/>
          <w:szCs w:val="18"/>
        </w:rPr>
        <w:t>Index Terms</w:t>
      </w:r>
      <w:r>
        <w:rPr>
          <w:rFonts w:ascii="Times New Roman" w:hAnsi="Times New Roman" w:eastAsia="Times New Roman" w:cs="Times New Roman"/>
          <w:sz w:val="18"/>
          <w:szCs w:val="18"/>
        </w:rPr>
        <w:t>—DC microgrid, LLC resonant converter, LCC resonant converter, series resonant converter, parallel resonant converter, Zero Voltage Switching (ZVS), First Harmonic Approximation (FHA), state-space modelling, frequency-modulated PI control, isolated DC–DC converter, SiC MOSFET.</w:t>
      </w:r>
    </w:p>
    <w:p w14:paraId="67D7B5CA">
      <w:pPr>
        <w:spacing w:before="160" w:after="80"/>
        <w:jc w:val="center"/>
      </w:pPr>
      <w:r>
        <w:rPr>
          <w:rFonts w:ascii="Times New Roman" w:hAnsi="Times New Roman" w:eastAsia="Times New Roman" w:cs="Times New Roman"/>
          <w:b/>
          <w:bCs/>
          <w:sz w:val="18"/>
          <w:szCs w:val="18"/>
        </w:rPr>
        <w:t>I. INTRODUCTION</w:t>
      </w:r>
    </w:p>
    <w:p w14:paraId="14EA1D5E">
      <w:pPr>
        <w:spacing w:before="0" w:after="80" w:line="230" w:lineRule="auto"/>
        <w:ind w:firstLine="200"/>
        <w:jc w:val="both"/>
      </w:pPr>
      <w:r>
        <w:rPr>
          <w:rFonts w:ascii="Times New Roman" w:hAnsi="Times New Roman" w:eastAsia="Times New Roman" w:cs="Times New Roman"/>
          <w:b w:val="0"/>
          <w:bCs w:val="0"/>
          <w:i w:val="0"/>
          <w:iCs w:val="0"/>
          <w:sz w:val="18"/>
          <w:szCs w:val="18"/>
        </w:rPr>
        <w:t>The global expansion of DC microgrids, driven by photovoltaic generation, battery energy storage, EV charging, and data-centre power distribution, has created an urgent need for efficient, high-frequency, galvanically isolated DC–DC converters [1]. Hard-switching full-bridge converters are increasingly unsuitable for these demands: turn-on and turn-off losses scale linearly with switching frequency, electromagnetic interference (EMI) increases, and heat management becomes prohibitive at power densities beyond a few hundred watts per litre.</w:t>
      </w:r>
    </w:p>
    <w:p w14:paraId="6400DEE5">
      <w:pPr>
        <w:spacing w:before="0" w:after="80" w:line="230" w:lineRule="auto"/>
        <w:ind w:firstLine="200"/>
        <w:jc w:val="both"/>
      </w:pPr>
      <w:r>
        <w:rPr>
          <w:rFonts w:ascii="Times New Roman" w:hAnsi="Times New Roman" w:eastAsia="Times New Roman" w:cs="Times New Roman"/>
          <w:b w:val="0"/>
          <w:bCs w:val="0"/>
          <w:i w:val="0"/>
          <w:iCs w:val="0"/>
          <w:sz w:val="18"/>
          <w:szCs w:val="18"/>
        </w:rPr>
        <w:t>Resonant converter topologies overcome these limitations by exploiting the natural sinusoidal current waveforms of the LC or multi-element tank to achieve soft switching. Zero Voltage Switching (ZVS) eliminates MOSFET turn-on losses by ensuring the drain-source voltage is discharged to zero by the tank current before the gate turns on. The core enabling condition is inductive-mode operation: when the converter is switched above the tank resonant frequency, the tank current lags the fundamental inverter voltage, and the lagging inductor current discharges the MOSFET output capacitance C_oss during the dead-time interval before the incoming device turns on. Conversely, operation below resonance places the tank in a capacitive mode</w:t>
      </w:r>
      <w:r>
        <w:rPr>
          <w:rFonts w:cs="Times New Roman"/>
          <w:b w:val="0"/>
          <w:bCs w:val="0"/>
          <w:i w:val="0"/>
          <w:iCs w:val="0"/>
          <w:sz w:val="18"/>
          <w:szCs w:val="18"/>
          <w:lang w:val="en"/>
          <w:woUserID w:val="1"/>
        </w:rPr>
        <w:t xml:space="preserve"> where </w:t>
      </w:r>
      <w:r>
        <w:rPr>
          <w:rFonts w:ascii="Times New Roman" w:hAnsi="Times New Roman" w:eastAsia="Times New Roman" w:cs="Times New Roman"/>
          <w:b w:val="0"/>
          <w:bCs w:val="0"/>
          <w:i w:val="0"/>
          <w:iCs w:val="0"/>
          <w:sz w:val="18"/>
          <w:szCs w:val="18"/>
        </w:rPr>
        <w:t>the current leads the voltage</w:t>
      </w:r>
      <w:r>
        <w:rPr>
          <w:rFonts w:cs="Times New Roman"/>
          <w:b w:val="0"/>
          <w:bCs w:val="0"/>
          <w:i w:val="0"/>
          <w:iCs w:val="0"/>
          <w:sz w:val="18"/>
          <w:szCs w:val="18"/>
          <w:lang w:val="en"/>
          <w:woUserID w:val="1"/>
        </w:rPr>
        <w:t xml:space="preserve"> and </w:t>
      </w:r>
      <w:r>
        <w:rPr>
          <w:rFonts w:ascii="Times New Roman" w:hAnsi="Times New Roman" w:eastAsia="Times New Roman" w:cs="Times New Roman"/>
          <w:b w:val="0"/>
          <w:bCs w:val="0"/>
          <w:i w:val="0"/>
          <w:iCs w:val="0"/>
          <w:sz w:val="18"/>
          <w:szCs w:val="18"/>
        </w:rPr>
        <w:t>ZVS is lost, reactive power is negative, and efficiency collapses, as confirmed by Simulink observations in this work at light load with a fixed switching frequency.</w:t>
      </w:r>
    </w:p>
    <w:p w14:paraId="2E8AF688">
      <w:pPr>
        <w:spacing w:before="0" w:after="80" w:line="230" w:lineRule="auto"/>
        <w:ind w:firstLine="200"/>
        <w:jc w:val="both"/>
      </w:pPr>
      <w:r>
        <w:rPr>
          <w:rFonts w:ascii="Times New Roman" w:hAnsi="Times New Roman" w:eastAsia="Times New Roman" w:cs="Times New Roman"/>
          <w:b w:val="0"/>
          <w:bCs w:val="0"/>
          <w:i w:val="0"/>
          <w:iCs w:val="0"/>
          <w:sz w:val="18"/>
          <w:szCs w:val="18"/>
        </w:rPr>
        <w:t>Four resonant topologies are studied: the Series Resonant Converter (SRC), the Parallel Resonant Converter (PRC), and the multi-resonant LLC and LCC converters. SRC and PRC are analytically tractable but suffer from narrow ZVS windows and poor light-load efficiency. The LLC and LCC introduce additional reactive elements</w:t>
      </w:r>
      <w:r>
        <w:rPr>
          <w:rFonts w:cs="Times New Roman"/>
          <w:b w:val="0"/>
          <w:bCs w:val="0"/>
          <w:i w:val="0"/>
          <w:iCs w:val="0"/>
          <w:sz w:val="18"/>
          <w:szCs w:val="18"/>
          <w:lang w:val="en"/>
          <w:woUserID w:val="1"/>
        </w:rPr>
        <w:t xml:space="preserve"> like </w:t>
      </w:r>
      <w:r>
        <w:rPr>
          <w:rFonts w:ascii="Times New Roman" w:hAnsi="Times New Roman" w:eastAsia="Times New Roman" w:cs="Times New Roman"/>
          <w:b w:val="0"/>
          <w:bCs w:val="0"/>
          <w:i w:val="0"/>
          <w:iCs w:val="0"/>
          <w:sz w:val="18"/>
          <w:szCs w:val="18"/>
        </w:rPr>
        <w:t>the transformer magnetising inductance in the LLC, and an additional parallel capacitor in the LCC</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that widen the ZVS range and sustain high efficiency across a broad load range [3],[4].</w:t>
      </w:r>
    </w:p>
    <w:p w14:paraId="2DFD769E">
      <w:pPr>
        <w:spacing w:before="0" w:after="80" w:line="230" w:lineRule="auto"/>
        <w:ind w:firstLine="200"/>
        <w:jc w:val="both"/>
        <w:rPr>
          <w:rFonts w:hint="default"/>
          <w:lang w:val="en"/>
          <w:woUserID w:val="1"/>
        </w:rPr>
      </w:pPr>
      <w:r>
        <w:rPr>
          <w:rFonts w:ascii="Times New Roman" w:hAnsi="Times New Roman" w:eastAsia="Times New Roman" w:cs="Times New Roman"/>
          <w:b w:val="0"/>
          <w:bCs w:val="0"/>
          <w:i w:val="0"/>
          <w:iCs w:val="0"/>
          <w:sz w:val="18"/>
          <w:szCs w:val="18"/>
        </w:rPr>
        <w:t>Despite abundant individual-topology literature, a unified framework covering FHA modelling, ZVS boundary verification, full state-space and small-signal analysis, closed-loop frequency control, and loss comparison applied consistently across all four topologies under identical specifications is underrepresented. This paper addresses that gap with a 560V/51V/1kW specification</w:t>
      </w:r>
      <w:r>
        <w:rPr>
          <w:rFonts w:cs="Times New Roman"/>
          <w:b w:val="0"/>
          <w:bCs w:val="0"/>
          <w:i w:val="0"/>
          <w:iCs w:val="0"/>
          <w:sz w:val="18"/>
          <w:szCs w:val="18"/>
          <w:lang w:val="en"/>
          <w:woUserID w:val="1"/>
        </w:rPr>
        <w:t>.</w:t>
      </w:r>
    </w:p>
    <w:p w14:paraId="1E9FA3D4">
      <w:pPr>
        <w:spacing w:before="0" w:after="80" w:line="230" w:lineRule="auto"/>
        <w:ind w:firstLine="200"/>
        <w:jc w:val="both"/>
      </w:pPr>
      <w:r>
        <w:rPr>
          <w:rFonts w:ascii="Times New Roman" w:hAnsi="Times New Roman" w:eastAsia="Times New Roman" w:cs="Times New Roman"/>
          <w:b w:val="0"/>
          <w:bCs w:val="0"/>
          <w:i w:val="0"/>
          <w:iCs w:val="0"/>
          <w:sz w:val="18"/>
          <w:szCs w:val="18"/>
        </w:rPr>
        <w:t>The key contributions of this paper are:</w:t>
      </w:r>
    </w:p>
    <w:p w14:paraId="5FF15375">
      <w:pPr>
        <w:spacing w:before="0" w:after="50" w:line="225" w:lineRule="auto"/>
        <w:ind w:left="220" w:hanging="220"/>
        <w:jc w:val="both"/>
      </w:pPr>
      <w:r>
        <w:rPr>
          <w:rFonts w:ascii="Times New Roman" w:hAnsi="Times New Roman" w:eastAsia="Times New Roman" w:cs="Times New Roman"/>
          <w:b w:val="0"/>
          <w:bCs w:val="0"/>
          <w:i w:val="0"/>
          <w:iCs w:val="0"/>
          <w:sz w:val="18"/>
          <w:szCs w:val="18"/>
        </w:rPr>
        <w:t>• FHA-based gain derivations and explicit resonant component designs for all four topologies under identical specifications.</w:t>
      </w:r>
    </w:p>
    <w:p w14:paraId="3C437FE1">
      <w:pPr>
        <w:spacing w:before="0" w:after="50" w:line="225" w:lineRule="auto"/>
        <w:ind w:left="220" w:hanging="220"/>
        <w:jc w:val="both"/>
        <w:rPr>
          <w:rFonts w:hint="default"/>
          <w:lang w:val="en"/>
          <w:woUserID w:val="2"/>
        </w:rPr>
      </w:pPr>
      <w:r>
        <w:rPr>
          <w:rFonts w:ascii="Times New Roman" w:hAnsi="Times New Roman" w:eastAsia="Times New Roman" w:cs="Times New Roman"/>
          <w:b w:val="0"/>
          <w:bCs w:val="0"/>
          <w:i w:val="0"/>
          <w:iCs w:val="0"/>
          <w:sz w:val="18"/>
          <w:szCs w:val="18"/>
        </w:rPr>
        <w:t>• A complete fourth-order large-signal state-space model derived from KVL/KCL, and a linearised small-signal frequency-to-output transfer function</w:t>
      </w:r>
      <w:r>
        <w:rPr>
          <w:rFonts w:cs="Times New Roman"/>
          <w:b w:val="0"/>
          <w:bCs w:val="0"/>
          <w:i w:val="0"/>
          <w:iCs w:val="0"/>
          <w:sz w:val="18"/>
          <w:szCs w:val="18"/>
          <w:lang w:val="en"/>
          <w:woUserID w:val="2"/>
        </w:rPr>
        <w:t>.</w:t>
      </w:r>
    </w:p>
    <w:p w14:paraId="2827AB6C">
      <w:pPr>
        <w:spacing w:before="0" w:after="50" w:line="225" w:lineRule="auto"/>
        <w:ind w:left="220" w:hanging="220"/>
        <w:jc w:val="both"/>
      </w:pPr>
      <w:r>
        <w:rPr>
          <w:rFonts w:ascii="Times New Roman" w:hAnsi="Times New Roman" w:eastAsia="Times New Roman" w:cs="Times New Roman"/>
          <w:b w:val="0"/>
          <w:bCs w:val="0"/>
          <w:i w:val="0"/>
          <w:iCs w:val="0"/>
          <w:sz w:val="18"/>
          <w:szCs w:val="18"/>
        </w:rPr>
        <w:t>• A Simulink-implemented frequency-modulated PI controller using a VCO architecture, validated for three output setpoints and demonstrated for both LLC and LCC topologies with separate tuned parameters.</w:t>
      </w:r>
    </w:p>
    <w:p w14:paraId="51E957E3">
      <w:pPr>
        <w:spacing w:before="0" w:after="50" w:line="225" w:lineRule="auto"/>
        <w:ind w:left="220" w:hanging="220"/>
        <w:jc w:val="both"/>
      </w:pPr>
      <w:r>
        <w:rPr>
          <w:rFonts w:ascii="Times New Roman" w:hAnsi="Times New Roman" w:eastAsia="Times New Roman" w:cs="Times New Roman"/>
          <w:b w:val="0"/>
          <w:bCs w:val="0"/>
          <w:i w:val="0"/>
          <w:iCs w:val="0"/>
          <w:sz w:val="18"/>
          <w:szCs w:val="18"/>
        </w:rPr>
        <w:t>• Identification and diagnosis of the fixed-frequency efficiency-collapse mechanism at light load, motivating the closed-loop design.</w:t>
      </w:r>
    </w:p>
    <w:p w14:paraId="2F273D99">
      <w:pPr>
        <w:spacing w:before="0" w:after="50" w:line="225" w:lineRule="auto"/>
        <w:ind w:left="220" w:hanging="220"/>
        <w:jc w:val="both"/>
      </w:pPr>
      <w:r>
        <w:rPr>
          <w:rFonts w:ascii="Times New Roman" w:hAnsi="Times New Roman" w:eastAsia="Times New Roman" w:cs="Times New Roman"/>
          <w:b w:val="0"/>
          <w:bCs w:val="0"/>
          <w:i w:val="0"/>
          <w:iCs w:val="0"/>
          <w:sz w:val="18"/>
          <w:szCs w:val="18"/>
        </w:rPr>
        <w:t>• A comparative loss analysis across all four topologies and a four-PCB hardware architecture for the prototype converter.</w:t>
      </w:r>
    </w:p>
    <w:p w14:paraId="6FD15765">
      <w:pPr>
        <w:spacing w:before="0" w:after="80" w:line="230" w:lineRule="auto"/>
        <w:ind w:firstLine="200"/>
        <w:jc w:val="both"/>
      </w:pPr>
      <w:r>
        <w:rPr>
          <w:rFonts w:ascii="Times New Roman" w:hAnsi="Times New Roman" w:eastAsia="Times New Roman" w:cs="Times New Roman"/>
          <w:b w:val="0"/>
          <w:bCs w:val="0"/>
          <w:i w:val="0"/>
          <w:iCs w:val="0"/>
          <w:sz w:val="18"/>
          <w:szCs w:val="18"/>
        </w:rPr>
        <w:t>The paper is organised as follows. Section II describes the system configuration. Section III analyses SRC and PRC including ZVS mechanism. Section IV covers LLC and LCC analysis and design. Section V presents the full mathematical modelling, state-space derivation, and controller design. Section VI presents efficiency and comparative results. Section VII describes the hardware PCB implementation. Section VIII concludes.</w:t>
      </w:r>
    </w:p>
    <w:p w14:paraId="20314EAD">
      <w:pPr>
        <w:spacing w:before="160" w:after="80"/>
        <w:jc w:val="center"/>
      </w:pPr>
      <w:r>
        <w:rPr>
          <w:rFonts w:ascii="Times New Roman" w:hAnsi="Times New Roman" w:eastAsia="Times New Roman" w:cs="Times New Roman"/>
          <w:b/>
          <w:bCs/>
          <w:sz w:val="18"/>
          <w:szCs w:val="18"/>
        </w:rPr>
        <w:t>II. SYSTEM CONFIGURATION</w:t>
      </w:r>
    </w:p>
    <w:p w14:paraId="4E4C325D">
      <w:pPr>
        <w:spacing w:before="100" w:after="40"/>
        <w:jc w:val="left"/>
      </w:pPr>
      <w:r>
        <w:rPr>
          <w:rFonts w:ascii="Times New Roman" w:hAnsi="Times New Roman" w:eastAsia="Times New Roman" w:cs="Times New Roman"/>
          <w:i/>
          <w:iCs/>
          <w:sz w:val="18"/>
          <w:szCs w:val="18"/>
        </w:rPr>
        <w:t>A. Converter Specifications</w:t>
      </w:r>
    </w:p>
    <w:p w14:paraId="65082D90">
      <w:pPr>
        <w:spacing w:before="0" w:after="80" w:line="230" w:lineRule="auto"/>
        <w:ind w:firstLine="200"/>
        <w:jc w:val="both"/>
      </w:pPr>
      <w:r>
        <w:rPr>
          <w:rFonts w:ascii="Times New Roman" w:hAnsi="Times New Roman" w:eastAsia="Times New Roman" w:cs="Times New Roman"/>
          <w:b w:val="0"/>
          <w:bCs w:val="0"/>
          <w:i w:val="0"/>
          <w:iCs w:val="0"/>
          <w:sz w:val="18"/>
          <w:szCs w:val="18"/>
        </w:rPr>
        <w:t>The converter targets a 560 V DC input</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and a regulated 51 V/19 A (1 kW) output. Two load conditions were used during simulation: a heavy-load resistance of 0.68 Ω (representing near-rated-current operation) and a light-load resistance of 2.68 Ω (representing partial-load operation where efficiency and ZVS are more challenging to maintain). Table I summarises the principal specifications.</w:t>
      </w:r>
    </w:p>
    <w:p w14:paraId="3228A32B">
      <w:pPr>
        <w:spacing w:before="100" w:after="40"/>
        <w:jc w:val="center"/>
      </w:pPr>
      <w:r>
        <w:rPr>
          <w:rFonts w:ascii="Times New Roman" w:hAnsi="Times New Roman" w:eastAsia="Times New Roman" w:cs="Times New Roman"/>
          <w:b/>
          <w:bCs/>
          <w:sz w:val="16"/>
          <w:szCs w:val="16"/>
        </w:rPr>
        <w:t>TABLE I
</w:t>
      </w:r>
      <w:r>
        <w:rPr>
          <w:rFonts w:ascii="Times New Roman" w:hAnsi="Times New Roman" w:eastAsia="Times New Roman" w:cs="Times New Roman"/>
          <w:i/>
          <w:iCs/>
          <w:sz w:val="16"/>
          <w:szCs w:val="16"/>
        </w:rPr>
        <w:t>Principal Converter Design Specifications</w:t>
      </w:r>
    </w:p>
    <w:tbl>
      <w:tblPr>
        <w:tblStyle w:val="13"/>
        <w:tblW w:w="4525"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2200"/>
      </w:tblGrid>
      <w:tr w14:paraId="275F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E8AB862">
            <w:pPr>
              <w:spacing w:before="0" w:after="0"/>
              <w:jc w:val="center"/>
            </w:pPr>
            <w:r>
              <w:rPr>
                <w:rFonts w:ascii="Times New Roman" w:hAnsi="Times New Roman" w:eastAsia="Times New Roman" w:cs="Times New Roman"/>
                <w:b/>
                <w:bCs/>
                <w:sz w:val="14"/>
                <w:szCs w:val="14"/>
              </w:rPr>
              <w:t>Parameter</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4555D7A">
            <w:pPr>
              <w:spacing w:before="0" w:after="0"/>
              <w:jc w:val="center"/>
            </w:pPr>
            <w:r>
              <w:rPr>
                <w:rFonts w:ascii="Times New Roman" w:hAnsi="Times New Roman" w:eastAsia="Times New Roman" w:cs="Times New Roman"/>
                <w:b/>
                <w:bCs/>
                <w:sz w:val="14"/>
                <w:szCs w:val="14"/>
              </w:rPr>
              <w:t>Value</w:t>
            </w:r>
          </w:p>
        </w:tc>
      </w:tr>
      <w:tr w14:paraId="026E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BC4B72E">
            <w:pPr>
              <w:spacing w:before="0" w:after="0"/>
              <w:jc w:val="center"/>
            </w:pPr>
            <w:r>
              <w:rPr>
                <w:rFonts w:ascii="Times New Roman" w:hAnsi="Times New Roman" w:eastAsia="Times New Roman" w:cs="Times New Roman"/>
                <w:b w:val="0"/>
                <w:bCs w:val="0"/>
                <w:sz w:val="14"/>
                <w:szCs w:val="14"/>
              </w:rPr>
              <w:t>Input voltage, V_in</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F3AFD80">
            <w:pPr>
              <w:spacing w:before="0" w:after="0"/>
              <w:jc w:val="center"/>
            </w:pPr>
            <w:r>
              <w:rPr>
                <w:rFonts w:ascii="Times New Roman" w:hAnsi="Times New Roman" w:eastAsia="Times New Roman" w:cs="Times New Roman"/>
                <w:b w:val="0"/>
                <w:bCs w:val="0"/>
                <w:sz w:val="14"/>
                <w:szCs w:val="14"/>
              </w:rPr>
              <w:t>560 V DC</w:t>
            </w:r>
          </w:p>
        </w:tc>
      </w:tr>
      <w:tr w14:paraId="4E534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584D359">
            <w:pPr>
              <w:spacing w:before="0" w:after="0"/>
              <w:jc w:val="center"/>
            </w:pPr>
            <w:r>
              <w:rPr>
                <w:rFonts w:ascii="Times New Roman" w:hAnsi="Times New Roman" w:eastAsia="Times New Roman" w:cs="Times New Roman"/>
                <w:b w:val="0"/>
                <w:bCs w:val="0"/>
                <w:sz w:val="14"/>
                <w:szCs w:val="14"/>
              </w:rPr>
              <w:t>Output voltage, V_out</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908B708">
            <w:pPr>
              <w:spacing w:before="0" w:after="0"/>
              <w:jc w:val="center"/>
            </w:pPr>
            <w:r>
              <w:rPr>
                <w:rFonts w:ascii="Times New Roman" w:hAnsi="Times New Roman" w:eastAsia="Times New Roman" w:cs="Times New Roman"/>
                <w:b w:val="0"/>
                <w:bCs w:val="0"/>
                <w:sz w:val="14"/>
                <w:szCs w:val="14"/>
              </w:rPr>
              <w:t>51 V DC</w:t>
            </w:r>
          </w:p>
        </w:tc>
      </w:tr>
      <w:tr w14:paraId="0B77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FDBC998">
            <w:pPr>
              <w:spacing w:before="0" w:after="0"/>
              <w:jc w:val="center"/>
            </w:pPr>
            <w:r>
              <w:rPr>
                <w:rFonts w:cs="Times New Roman"/>
                <w:b w:val="0"/>
                <w:bCs w:val="0"/>
                <w:sz w:val="14"/>
                <w:szCs w:val="14"/>
                <w:lang w:val="en"/>
                <w:woUserID w:val="2"/>
              </w:rPr>
              <w:t xml:space="preserve"> </w:t>
            </w:r>
            <w:r>
              <w:rPr>
                <w:rFonts w:ascii="Times New Roman" w:hAnsi="Times New Roman" w:eastAsia="Times New Roman" w:cs="Times New Roman"/>
                <w:b w:val="0"/>
                <w:bCs w:val="0"/>
                <w:sz w:val="14"/>
                <w:szCs w:val="14"/>
              </w:rPr>
              <w:t>Output current, I_out</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C681246">
            <w:pPr>
              <w:spacing w:before="0" w:after="0"/>
              <w:jc w:val="center"/>
            </w:pPr>
            <w:r>
              <w:rPr>
                <w:rFonts w:ascii="Times New Roman" w:hAnsi="Times New Roman" w:eastAsia="Times New Roman" w:cs="Times New Roman"/>
                <w:b w:val="0"/>
                <w:bCs w:val="0"/>
                <w:sz w:val="14"/>
                <w:szCs w:val="14"/>
              </w:rPr>
              <w:t>19 A</w:t>
            </w:r>
          </w:p>
        </w:tc>
      </w:tr>
      <w:tr w14:paraId="7964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D8FA582">
            <w:pPr>
              <w:spacing w:before="0" w:after="0"/>
              <w:jc w:val="center"/>
            </w:pPr>
            <w:r>
              <w:rPr>
                <w:rFonts w:ascii="Times New Roman" w:hAnsi="Times New Roman" w:eastAsia="Times New Roman" w:cs="Times New Roman"/>
                <w:b w:val="0"/>
                <w:bCs w:val="0"/>
                <w:sz w:val="14"/>
                <w:szCs w:val="14"/>
              </w:rPr>
              <w:t>Rated output power, P_out</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2D94E6D">
            <w:pPr>
              <w:spacing w:before="0" w:after="0"/>
              <w:jc w:val="center"/>
            </w:pPr>
            <w:r>
              <w:rPr>
                <w:rFonts w:ascii="Times New Roman" w:hAnsi="Times New Roman" w:eastAsia="Times New Roman" w:cs="Times New Roman"/>
                <w:b w:val="0"/>
                <w:bCs w:val="0"/>
                <w:sz w:val="14"/>
                <w:szCs w:val="14"/>
              </w:rPr>
              <w:t>1 kW</w:t>
            </w:r>
          </w:p>
        </w:tc>
      </w:tr>
      <w:tr w14:paraId="27FC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FA52DDE">
            <w:pPr>
              <w:spacing w:before="0" w:after="0"/>
              <w:jc w:val="center"/>
            </w:pPr>
            <w:r>
              <w:rPr>
                <w:rFonts w:ascii="Times New Roman" w:hAnsi="Times New Roman" w:eastAsia="Times New Roman" w:cs="Times New Roman"/>
                <w:b w:val="0"/>
                <w:bCs w:val="0"/>
                <w:sz w:val="14"/>
                <w:szCs w:val="14"/>
              </w:rPr>
              <w:t>Heavy load, R_heavy</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4EC438C">
            <w:pPr>
              <w:spacing w:before="0" w:after="0"/>
              <w:jc w:val="center"/>
            </w:pPr>
            <w:r>
              <w:rPr>
                <w:rFonts w:ascii="Times New Roman" w:hAnsi="Times New Roman" w:eastAsia="Times New Roman" w:cs="Times New Roman"/>
                <w:b w:val="0"/>
                <w:bCs w:val="0"/>
                <w:sz w:val="14"/>
                <w:szCs w:val="14"/>
              </w:rPr>
              <w:t>0.68 Ω</w:t>
            </w:r>
          </w:p>
        </w:tc>
      </w:tr>
      <w:tr w14:paraId="454A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55A800D">
            <w:pPr>
              <w:spacing w:before="0" w:after="0"/>
              <w:jc w:val="center"/>
            </w:pPr>
            <w:r>
              <w:rPr>
                <w:rFonts w:ascii="Times New Roman" w:hAnsi="Times New Roman" w:eastAsia="Times New Roman" w:cs="Times New Roman"/>
                <w:b w:val="0"/>
                <w:bCs w:val="0"/>
                <w:sz w:val="14"/>
                <w:szCs w:val="14"/>
              </w:rPr>
              <w:t>Light load, R_light</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5FA51A7">
            <w:pPr>
              <w:spacing w:before="0" w:after="0"/>
              <w:jc w:val="center"/>
            </w:pPr>
            <w:r>
              <w:rPr>
                <w:rFonts w:ascii="Times New Roman" w:hAnsi="Times New Roman" w:eastAsia="Times New Roman" w:cs="Times New Roman"/>
                <w:b w:val="0"/>
                <w:bCs w:val="0"/>
                <w:sz w:val="14"/>
                <w:szCs w:val="14"/>
              </w:rPr>
              <w:t>2.68 Ω</w:t>
            </w:r>
          </w:p>
        </w:tc>
      </w:tr>
      <w:tr w14:paraId="33B7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C851102">
            <w:pPr>
              <w:spacing w:before="0" w:after="0"/>
              <w:jc w:val="center"/>
            </w:pPr>
            <w:r>
              <w:rPr>
                <w:rFonts w:ascii="Times New Roman" w:hAnsi="Times New Roman" w:eastAsia="Times New Roman" w:cs="Times New Roman"/>
                <w:b w:val="0"/>
                <w:bCs w:val="0"/>
                <w:sz w:val="14"/>
                <w:szCs w:val="14"/>
              </w:rPr>
              <w:t>Output capacitor, C_o</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6C49C5C">
            <w:pPr>
              <w:spacing w:before="0" w:after="0"/>
              <w:jc w:val="center"/>
            </w:pPr>
            <w:r>
              <w:rPr>
                <w:rFonts w:ascii="Times New Roman" w:hAnsi="Times New Roman" w:eastAsia="Times New Roman" w:cs="Times New Roman"/>
                <w:b w:val="0"/>
                <w:bCs w:val="0"/>
                <w:sz w:val="14"/>
                <w:szCs w:val="14"/>
              </w:rPr>
              <w:t>220 μF</w:t>
            </w:r>
          </w:p>
        </w:tc>
      </w:tr>
      <w:tr w14:paraId="05E3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2C1A459">
            <w:pPr>
              <w:spacing w:before="0" w:after="0"/>
              <w:jc w:val="center"/>
            </w:pPr>
            <w:r>
              <w:rPr>
                <w:rFonts w:ascii="Times New Roman" w:hAnsi="Times New Roman" w:eastAsia="Times New Roman" w:cs="Times New Roman"/>
                <w:b w:val="0"/>
                <w:bCs w:val="0"/>
                <w:sz w:val="14"/>
                <w:szCs w:val="14"/>
              </w:rPr>
              <w:t>Transformer turns ratio, n</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D9E63B1">
            <w:pPr>
              <w:spacing w:before="0" w:after="0"/>
              <w:jc w:val="center"/>
            </w:pPr>
            <w:r>
              <w:rPr>
                <w:rFonts w:ascii="Times New Roman" w:hAnsi="Times New Roman" w:eastAsia="Times New Roman" w:cs="Times New Roman"/>
                <w:b w:val="0"/>
                <w:bCs w:val="0"/>
                <w:sz w:val="14"/>
                <w:szCs w:val="14"/>
              </w:rPr>
              <w:t>≈ 11:1</w:t>
            </w:r>
          </w:p>
        </w:tc>
      </w:tr>
      <w:tr w14:paraId="026B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09C5791">
            <w:pPr>
              <w:spacing w:before="0" w:after="0"/>
              <w:jc w:val="center"/>
            </w:pPr>
            <w:r>
              <w:rPr>
                <w:rFonts w:ascii="Times New Roman" w:hAnsi="Times New Roman" w:eastAsia="Times New Roman" w:cs="Times New Roman"/>
                <w:b w:val="0"/>
                <w:bCs w:val="0"/>
                <w:sz w:val="14"/>
                <w:szCs w:val="14"/>
              </w:rPr>
              <w:t>Primary switching device</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25100E4">
            <w:pPr>
              <w:spacing w:before="0" w:after="0"/>
              <w:jc w:val="center"/>
            </w:pPr>
            <w:r>
              <w:rPr>
                <w:rFonts w:ascii="Times New Roman" w:hAnsi="Times New Roman" w:eastAsia="Times New Roman" w:cs="Times New Roman"/>
                <w:b w:val="0"/>
                <w:bCs w:val="0"/>
                <w:sz w:val="14"/>
                <w:szCs w:val="14"/>
              </w:rPr>
              <w:t xml:space="preserve"> SiC MOSFET</w:t>
            </w:r>
          </w:p>
        </w:tc>
      </w:tr>
      <w:tr w14:paraId="4A15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88BB0B1">
            <w:pPr>
              <w:spacing w:before="0" w:after="0"/>
              <w:jc w:val="center"/>
            </w:pPr>
            <w:r>
              <w:rPr>
                <w:rFonts w:ascii="Times New Roman" w:hAnsi="Times New Roman" w:eastAsia="Times New Roman" w:cs="Times New Roman"/>
                <w:b w:val="0"/>
                <w:bCs w:val="0"/>
                <w:sz w:val="14"/>
                <w:szCs w:val="14"/>
              </w:rPr>
              <w:t>Topologies studied</w:t>
            </w:r>
          </w:p>
        </w:tc>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6300C16">
            <w:pPr>
              <w:spacing w:before="0" w:after="0"/>
              <w:jc w:val="center"/>
            </w:pPr>
            <w:r>
              <w:rPr>
                <w:rFonts w:ascii="Times New Roman" w:hAnsi="Times New Roman" w:eastAsia="Times New Roman" w:cs="Times New Roman"/>
                <w:b w:val="0"/>
                <w:bCs w:val="0"/>
                <w:sz w:val="14"/>
                <w:szCs w:val="14"/>
              </w:rPr>
              <w:t>SRC, PRC, LLC, LCC</w:t>
            </w:r>
          </w:p>
        </w:tc>
      </w:tr>
    </w:tbl>
    <w:p w14:paraId="0DF1C68A">
      <w:pPr>
        <w:spacing w:before="100" w:after="40"/>
        <w:jc w:val="left"/>
      </w:pPr>
      <w:r>
        <w:rPr>
          <w:rFonts w:ascii="Times New Roman" w:hAnsi="Times New Roman" w:eastAsia="Times New Roman" w:cs="Times New Roman"/>
          <w:i/>
          <w:iCs/>
          <w:sz w:val="18"/>
          <w:szCs w:val="18"/>
        </w:rPr>
        <w:t>B. Full-Bridge Inverter and Gate Signal Architecture</w:t>
      </w:r>
    </w:p>
    <w:p w14:paraId="64A632EE">
      <w:pPr>
        <w:spacing w:before="0" w:after="80" w:line="230" w:lineRule="auto"/>
        <w:ind w:firstLine="200"/>
        <w:jc w:val="both"/>
      </w:pPr>
      <w:r>
        <w:rPr>
          <w:rFonts w:ascii="Times New Roman" w:hAnsi="Times New Roman" w:eastAsia="Times New Roman" w:cs="Times New Roman"/>
          <w:b w:val="0"/>
          <w:bCs w:val="0"/>
          <w:i w:val="0"/>
          <w:iCs w:val="0"/>
          <w:sz w:val="18"/>
          <w:szCs w:val="18"/>
        </w:rPr>
        <w:t>All four topologies share the same full-bridge inverter front end: four SiC MOSFETs arranged in an H-bridge driven by complementary gate signals. The correct gate-signal generation strategy</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validated through Simulink debugging</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uses a single pulse generator as the timing reference. The primary signal (PWM_A) drives the top-left switch S1; its logical complement NOT(PWM_A) drives the bottom-left switch S3. A transport-delayed copy of PWM_A (delay = T/2 ≈ 3.9 μs at 128 kHz) drives the top-right switch S2, and its complement NOT(delayed PWM_A) drives the bottom-right switch S4. This guarantees synchronisation, a clean 50% duty cycle, and a precisely maintained 180° phase shift between bridge legs. Using two independent pulse generators was found to produce unsynchronised leg signals and incorrect waveforms, and was discarded.</w:t>
      </w:r>
    </w:p>
    <w:p w14:paraId="1237FA25">
      <w:pPr>
        <w:spacing w:before="0" w:after="80" w:line="230" w:lineRule="auto"/>
        <w:ind w:firstLine="200"/>
        <w:jc w:val="both"/>
      </w:pPr>
      <w:r>
        <w:rPr>
          <w:rFonts w:ascii="Times New Roman" w:hAnsi="Times New Roman" w:eastAsia="Times New Roman" w:cs="Times New Roman"/>
          <w:b w:val="0"/>
          <w:bCs w:val="0"/>
          <w:i w:val="0"/>
          <w:iCs w:val="0"/>
          <w:sz w:val="18"/>
          <w:szCs w:val="18"/>
        </w:rPr>
        <w:t>A dead time of 400 ns is inserted between each complementary switch pair via transport-delay blocks. This interval allows the lagging resonant current to discharge the C_oss of the incoming MOSFET to zero before its gate signal arrives, enabling ZVS. Under FHA the inverter output is represented by its fundamental Fourier component:</w:t>
      </w:r>
    </w:p>
    <w:p w14:paraId="0E0DF42E">
      <w:pPr>
        <w:spacing w:before="40" w:after="60"/>
        <w:jc w:val="center"/>
      </w:pPr>
      <w:r>
        <w:rPr>
          <w:rFonts w:ascii="Times New Roman" w:hAnsi="Times New Roman" w:eastAsia="Times New Roman" w:cs="Times New Roman"/>
          <w:b w:val="0"/>
          <w:bCs w:val="0"/>
          <w:i/>
          <w:iCs/>
          <w:sz w:val="18"/>
          <w:szCs w:val="18"/>
        </w:rPr>
        <w:t>V_ac(t) = (4V_in/π) sin(ω_s t),   V_ac,rms = 4V_in/(π√2) ≈ 504.18 V</w:t>
      </w:r>
    </w:p>
    <w:p w14:paraId="555AC25E">
      <w:pPr>
        <w:spacing w:before="0" w:after="80" w:line="230" w:lineRule="auto"/>
        <w:ind w:firstLine="200"/>
        <w:jc w:val="both"/>
      </w:pPr>
      <w:r>
        <w:rPr>
          <w:rFonts w:ascii="Times New Roman" w:hAnsi="Times New Roman" w:eastAsia="Times New Roman" w:cs="Times New Roman"/>
          <w:b w:val="0"/>
          <w:bCs w:val="0"/>
          <w:i w:val="0"/>
          <w:iCs w:val="0"/>
          <w:sz w:val="18"/>
          <w:szCs w:val="18"/>
        </w:rPr>
        <w:t>The bridge output swings between +560 V, 0 V, and −560 V; the zero-voltage intervals during dead time are normal and do not indicate a fault. The reflected load resistance seen at the primary, incorporating the FHA rectifier correction factor, is R_ac = R_dc × (8/π²) × n², evaluating to approximately 49 Ω at rated condition.</w:t>
      </w:r>
    </w:p>
    <w:p w14:paraId="20C1A2C8">
      <w:pPr>
        <w:pBdr>
          <w:top w:val="single" w:color="999999" w:sz="4" w:space="0"/>
          <w:left w:val="single" w:color="999999" w:sz="4" w:space="0"/>
          <w:bottom w:val="single" w:color="999999" w:sz="4" w:space="0"/>
          <w:right w:val="single" w:color="999999" w:sz="4" w:space="0"/>
        </w:pBdr>
        <w:spacing w:before="100" w:after="0"/>
      </w:pPr>
      <w:r>
        <w:rPr>
          <w:rFonts w:hint="default"/>
          <w:lang w:val="en"/>
        </w:rPr>
        <w:drawing>
          <wp:inline distT="0" distB="0" distL="114300" distR="114300">
            <wp:extent cx="3197860" cy="21101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197860" cy="2110105"/>
                    </a:xfrm>
                    <a:prstGeom prst="rect">
                      <a:avLst/>
                    </a:prstGeom>
                  </pic:spPr>
                </pic:pic>
              </a:graphicData>
            </a:graphic>
          </wp:inline>
        </w:drawing>
      </w:r>
    </w:p>
    <w:p w14:paraId="473EA534">
      <w:pPr>
        <w:spacing w:before="40" w:after="100"/>
        <w:jc w:val="center"/>
      </w:pPr>
      <w:r>
        <w:rPr>
          <w:rFonts w:ascii="Times New Roman" w:hAnsi="Times New Roman" w:eastAsia="Times New Roman" w:cs="Times New Roman"/>
          <w:b/>
          <w:bCs/>
          <w:sz w:val="16"/>
          <w:szCs w:val="16"/>
        </w:rPr>
        <w:t xml:space="preserve">Fig. 1.  </w:t>
      </w:r>
      <w:r>
        <w:rPr>
          <w:rFonts w:ascii="Times New Roman" w:hAnsi="Times New Roman" w:eastAsia="Times New Roman" w:cs="Times New Roman"/>
          <w:i/>
          <w:iCs/>
          <w:sz w:val="16"/>
          <w:szCs w:val="16"/>
        </w:rPr>
        <w:t>Gate signal generation: single pulse generator, complementary NOT logic, 180° phase-shifted delayed copy, and 400 ns dead-time transport delays for S1–S4. Bridge output voltage swings between +560 V, 0 V, and −560 V.</w:t>
      </w:r>
    </w:p>
    <w:p w14:paraId="40BFFF97">
      <w:pPr>
        <w:spacing w:before="160" w:after="80"/>
        <w:jc w:val="center"/>
        <w:rPr>
          <w:rFonts w:hint="default"/>
          <w:lang w:val="en"/>
          <w:woUserID w:val="1"/>
        </w:rPr>
      </w:pPr>
      <w:r>
        <w:rPr>
          <w:rFonts w:ascii="Times New Roman" w:hAnsi="Times New Roman" w:eastAsia="Times New Roman" w:cs="Times New Roman"/>
          <w:b/>
          <w:bCs/>
          <w:sz w:val="18"/>
          <w:szCs w:val="18"/>
        </w:rPr>
        <w:t xml:space="preserve">III. </w:t>
      </w:r>
      <w:r>
        <w:rPr>
          <w:rFonts w:cs="Times New Roman"/>
          <w:b/>
          <w:bCs/>
          <w:sz w:val="18"/>
          <w:szCs w:val="18"/>
          <w:lang w:val="en"/>
          <w:woUserID w:val="1"/>
        </w:rPr>
        <w:t xml:space="preserve">ANALYSIS AND DESIGN OF SRC AND PRC TOPOLOGIES </w:t>
      </w:r>
    </w:p>
    <w:p w14:paraId="4839EC96">
      <w:pPr>
        <w:spacing w:before="0" w:after="80" w:line="230" w:lineRule="auto"/>
        <w:ind w:firstLine="200"/>
        <w:jc w:val="both"/>
      </w:pPr>
      <w:r>
        <w:rPr>
          <w:rFonts w:ascii="Times New Roman" w:hAnsi="Times New Roman" w:eastAsia="Times New Roman" w:cs="Times New Roman"/>
          <w:b w:val="0"/>
          <w:bCs w:val="0"/>
          <w:i w:val="0"/>
          <w:iCs w:val="0"/>
          <w:sz w:val="18"/>
          <w:szCs w:val="18"/>
        </w:rPr>
        <w:t>The SRC and PRC serve as the baseline topologies. In the SRC, L_r and C_r are connected in series with the transformer primary, placing the reflected load R_ac in series with the tank. In the PRC, C_r is placed in parallel with the transformer primary (parallel to R_ac), while L_r remains in series with the inverter source.</w:t>
      </w:r>
    </w:p>
    <w:p w14:paraId="4695C7FA">
      <w:pPr>
        <w:spacing w:before="100" w:after="40"/>
        <w:jc w:val="left"/>
      </w:pPr>
      <w:r>
        <w:rPr>
          <w:rFonts w:ascii="Times New Roman" w:hAnsi="Times New Roman" w:eastAsia="Times New Roman" w:cs="Times New Roman"/>
          <w:i/>
          <w:iCs/>
          <w:sz w:val="18"/>
          <w:szCs w:val="18"/>
        </w:rPr>
        <w:t>A. Resonant Frequency and Quality Factor</w:t>
      </w:r>
    </w:p>
    <w:p w14:paraId="0636B2FB">
      <w:pPr>
        <w:spacing w:before="0" w:after="80" w:line="230" w:lineRule="auto"/>
        <w:ind w:firstLine="200"/>
        <w:jc w:val="both"/>
      </w:pPr>
      <w:r>
        <w:rPr>
          <w:rFonts w:ascii="Times New Roman" w:hAnsi="Times New Roman" w:eastAsia="Times New Roman" w:cs="Times New Roman"/>
          <w:b w:val="0"/>
          <w:bCs w:val="0"/>
          <w:i w:val="0"/>
          <w:iCs w:val="0"/>
          <w:sz w:val="18"/>
          <w:szCs w:val="18"/>
        </w:rPr>
        <w:t>Both topologies share</w:t>
      </w:r>
    </w:p>
    <w:p w14:paraId="43347097">
      <w:pPr>
        <w:spacing w:before="40" w:after="60"/>
        <w:jc w:val="center"/>
      </w:pPr>
      <w:r>
        <w:rPr>
          <w:rFonts w:ascii="Times New Roman" w:hAnsi="Times New Roman" w:eastAsia="Times New Roman" w:cs="Times New Roman"/>
          <w:b w:val="0"/>
          <w:bCs w:val="0"/>
          <w:i/>
          <w:iCs/>
          <w:sz w:val="18"/>
          <w:szCs w:val="18"/>
        </w:rPr>
        <w:t>f_r = 1/(2π√(L_r C_r)),   Q = ω_r L_r / R_{pri} = 1/(ω_r C_r R_{pri})</w:t>
      </w:r>
    </w:p>
    <w:p w14:paraId="75066CE6">
      <w:pPr>
        <w:spacing w:before="0" w:after="80" w:line="230" w:lineRule="auto"/>
        <w:ind w:firstLine="200"/>
        <w:jc w:val="both"/>
      </w:pPr>
      <w:r>
        <w:rPr>
          <w:rFonts w:ascii="Times New Roman" w:hAnsi="Times New Roman" w:eastAsia="Times New Roman" w:cs="Times New Roman"/>
          <w:b w:val="0"/>
          <w:bCs w:val="0"/>
          <w:i w:val="0"/>
          <w:iCs w:val="0"/>
          <w:sz w:val="18"/>
          <w:szCs w:val="18"/>
        </w:rPr>
        <w:t>with normalised frequency u = f_s/f_r as the design variable. For the SRC design (L_r = 33.3 μH, C_r = 6 μF): f_r = 11.26 kHz. For the PRC design (L_r = 154 μH, C_r = 1.3 μF): f_r = 11.25 kHz.</w:t>
      </w:r>
    </w:p>
    <w:p w14:paraId="67A26016">
      <w:pPr>
        <w:spacing w:before="100" w:after="40"/>
        <w:jc w:val="left"/>
      </w:pPr>
      <w:r>
        <w:rPr>
          <w:rFonts w:ascii="Times New Roman" w:hAnsi="Times New Roman" w:eastAsia="Times New Roman" w:cs="Times New Roman"/>
          <w:i/>
          <w:iCs/>
          <w:sz w:val="18"/>
          <w:szCs w:val="18"/>
        </w:rPr>
        <w:t>B. SRC Gain and ZVS Analysis</w:t>
      </w:r>
    </w:p>
    <w:p w14:paraId="25D6A8E4">
      <w:pPr>
        <w:spacing w:before="0" w:after="80" w:line="230" w:lineRule="auto"/>
        <w:ind w:firstLine="200"/>
        <w:jc w:val="both"/>
      </w:pPr>
      <w:r>
        <w:rPr>
          <w:rFonts w:ascii="Times New Roman" w:hAnsi="Times New Roman" w:eastAsia="Times New Roman" w:cs="Times New Roman"/>
          <w:b w:val="0"/>
          <w:bCs w:val="0"/>
          <w:i w:val="0"/>
          <w:iCs w:val="0"/>
          <w:sz w:val="18"/>
          <w:szCs w:val="18"/>
        </w:rPr>
        <w:t>The SRC voltage gain at normalised frequency u is:</w:t>
      </w:r>
    </w:p>
    <w:p w14:paraId="3A500028">
      <w:pPr>
        <w:spacing w:before="40" w:after="60"/>
        <w:jc w:val="center"/>
      </w:pPr>
      <w:r>
        <w:rPr>
          <w:rFonts w:ascii="Times New Roman" w:hAnsi="Times New Roman" w:eastAsia="Times New Roman" w:cs="Times New Roman"/>
          <w:b w:val="0"/>
          <w:bCs w:val="0"/>
          <w:i/>
          <w:iCs/>
          <w:sz w:val="18"/>
          <w:szCs w:val="18"/>
        </w:rPr>
        <w:t>|M_SRC| = 1 / √[1 + Q²(u − 1/u)²]</w:t>
      </w:r>
    </w:p>
    <w:p w14:paraId="3A406A2C">
      <w:pPr>
        <w:spacing w:before="0" w:after="80" w:line="230" w:lineRule="auto"/>
        <w:ind w:firstLine="200"/>
        <w:jc w:val="both"/>
      </w:pPr>
      <w:r>
        <w:rPr>
          <w:rFonts w:ascii="Times New Roman" w:hAnsi="Times New Roman" w:eastAsia="Times New Roman" w:cs="Times New Roman"/>
          <w:b w:val="0"/>
          <w:bCs w:val="0"/>
          <w:i w:val="0"/>
          <w:iCs w:val="0"/>
          <w:sz w:val="18"/>
          <w:szCs w:val="18"/>
        </w:rPr>
        <w:t>At u = 1 the gain is unity and ZVS is marginal; for u &gt; 1 the tank is inductive (X_L &gt; X_C), the current lags the voltage, and ZVS is sustained across the full load range. For u &lt; 1 the tank becomes capacitive, ZVS is lost, and circulating loss increases. The SRC gain is always ≤ 1 above resonance and cannot provide voltage boost. Load regulation degrades at light load as Q decreases and the gain curve flattens.</w:t>
      </w:r>
    </w:p>
    <w:p w14:paraId="241A6B8C">
      <w:pPr>
        <w:spacing w:before="100" w:after="40"/>
        <w:jc w:val="left"/>
      </w:pPr>
      <w:r>
        <w:rPr>
          <w:rFonts w:ascii="Times New Roman" w:hAnsi="Times New Roman" w:eastAsia="Times New Roman" w:cs="Times New Roman"/>
          <w:i/>
          <w:iCs/>
          <w:sz w:val="18"/>
          <w:szCs w:val="18"/>
        </w:rPr>
        <w:t>C. PRC Gain, ZVS, and Circulating Current</w:t>
      </w:r>
    </w:p>
    <w:p w14:paraId="555E716F">
      <w:pPr>
        <w:spacing w:before="0" w:after="80" w:line="230" w:lineRule="auto"/>
        <w:ind w:firstLine="200"/>
        <w:jc w:val="both"/>
      </w:pPr>
      <w:r>
        <w:rPr>
          <w:rFonts w:ascii="Times New Roman" w:hAnsi="Times New Roman" w:eastAsia="Times New Roman" w:cs="Times New Roman"/>
          <w:b w:val="0"/>
          <w:bCs w:val="0"/>
          <w:i w:val="0"/>
          <w:iCs w:val="0"/>
          <w:sz w:val="18"/>
          <w:szCs w:val="18"/>
        </w:rPr>
        <w:t>The PRC voltage gain is:</w:t>
      </w:r>
    </w:p>
    <w:p w14:paraId="51A6C004">
      <w:pPr>
        <w:spacing w:before="40" w:after="60"/>
        <w:jc w:val="center"/>
      </w:pPr>
      <w:r>
        <w:rPr>
          <w:rFonts w:ascii="Times New Roman" w:hAnsi="Times New Roman" w:eastAsia="Times New Roman" w:cs="Times New Roman"/>
          <w:b w:val="0"/>
          <w:bCs w:val="0"/>
          <w:i/>
          <w:iCs/>
          <w:sz w:val="18"/>
          <w:szCs w:val="18"/>
        </w:rPr>
        <w:t>|M_PRC| = 1 / √[(1 − u²)² + (u/Q)²]</w:t>
      </w:r>
    </w:p>
    <w:p w14:paraId="327A26A3">
      <w:pPr>
        <w:spacing w:before="0" w:after="80" w:line="230" w:lineRule="auto"/>
        <w:ind w:firstLine="200"/>
        <w:jc w:val="both"/>
      </w:pPr>
      <w:r>
        <w:rPr>
          <w:rFonts w:ascii="Times New Roman" w:hAnsi="Times New Roman" w:eastAsia="Times New Roman" w:cs="Times New Roman"/>
          <w:b w:val="0"/>
          <w:bCs w:val="0"/>
          <w:i w:val="0"/>
          <w:iCs w:val="0"/>
          <w:sz w:val="18"/>
          <w:szCs w:val="18"/>
        </w:rPr>
        <w:t>The PRC can achieve gain greater than unity below resonance, but in that capacitive-mode region ZVS cannot be maintained. At Q = 1.44 and u = 1, the circulating tank current reaches approximately 342.6A</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representing nearly 6 kW of circulating reactive power against only 1 kW delivered to the load. This persistently large circulating current, largely independent of load, is the dominant disadvantage of the PRC relative to the SRC.</w:t>
      </w:r>
    </w:p>
    <w:p w14:paraId="5A3A5E87">
      <w:pPr>
        <w:spacing w:before="100" w:after="40"/>
        <w:jc w:val="left"/>
      </w:pPr>
      <w:r>
        <w:rPr>
          <w:rFonts w:ascii="Times New Roman" w:hAnsi="Times New Roman" w:eastAsia="Times New Roman" w:cs="Times New Roman"/>
          <w:i/>
          <w:iCs/>
          <w:sz w:val="18"/>
          <w:szCs w:val="18"/>
        </w:rPr>
        <w:t>D. ZVS Mechanism and Dead-Time Design</w:t>
      </w:r>
    </w:p>
    <w:p w14:paraId="4087C0FE">
      <w:pPr>
        <w:spacing w:before="0" w:after="80" w:line="230" w:lineRule="auto"/>
        <w:ind w:firstLine="200"/>
        <w:jc w:val="both"/>
      </w:pPr>
      <w:r>
        <w:rPr>
          <w:rFonts w:ascii="Times New Roman" w:hAnsi="Times New Roman" w:eastAsia="Times New Roman" w:cs="Times New Roman"/>
          <w:b w:val="0"/>
          <w:bCs w:val="0"/>
          <w:i w:val="0"/>
          <w:iCs w:val="0"/>
          <w:sz w:val="18"/>
          <w:szCs w:val="18"/>
        </w:rPr>
        <w:t>ZVS is enabled when, during the dead-time interval, the lagging inductor current i_Lr charges and discharges the MOSFET output capacitances such that the drain-source voltage of the incoming device reaches zero before its gate signal arrives, allowing the body diode to conduct first. If the dead time is too short, C_oss does not fully discharge and a hard turn-on occurs; if too long, extended body-diode conduction increases conduction losses. The 400 ns dead time implemented in this work was confirmed by Simulink inspection of the switching-node voltage against the resonant tank current for both the SRC and PRC.</w:t>
      </w:r>
    </w:p>
    <w:p w14:paraId="0DBE8195">
      <w:pPr>
        <w:spacing w:before="0" w:after="80" w:line="230" w:lineRule="auto"/>
        <w:ind w:firstLine="200"/>
        <w:jc w:val="both"/>
      </w:pPr>
      <w:r>
        <w:rPr>
          <w:rFonts w:ascii="Times New Roman" w:hAnsi="Times New Roman" w:eastAsia="Times New Roman" w:cs="Times New Roman"/>
          <w:b w:val="0"/>
          <w:bCs w:val="0"/>
          <w:i w:val="0"/>
          <w:iCs w:val="0"/>
          <w:sz w:val="18"/>
          <w:szCs w:val="18"/>
        </w:rPr>
        <w:t>ZVS in the SRC is wide-range: any f_s &gt; f_r guarantees inductive operation and positive reactive power (Q &gt; 0), which the PI controller enforces via the frequency floor. In the PRC the practical ZVS window is narrow (10.6–11 kHz), with efficiency falling sharply outside it as Table III of Section VI shows.</w:t>
      </w:r>
    </w:p>
    <w:p w14:paraId="15E68E8A">
      <w:pPr>
        <w:pBdr>
          <w:top w:val="single" w:color="999999" w:sz="4"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78175" cy="1747520"/>
            <wp:effectExtent l="0" t="0" r="317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3178175" cy="1747520"/>
                    </a:xfrm>
                    <a:prstGeom prst="rect">
                      <a:avLst/>
                    </a:prstGeom>
                  </pic:spPr>
                </pic:pic>
              </a:graphicData>
            </a:graphic>
          </wp:inline>
        </w:drawing>
      </w:r>
    </w:p>
    <w:p w14:paraId="32005A18">
      <w:pPr>
        <w:pBdr>
          <w:top w:val="none" w:color="999999" w:sz="0"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94685" cy="2250440"/>
            <wp:effectExtent l="0" t="0" r="5715"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3194685" cy="2250440"/>
                    </a:xfrm>
                    <a:prstGeom prst="rect">
                      <a:avLst/>
                    </a:prstGeom>
                  </pic:spPr>
                </pic:pic>
              </a:graphicData>
            </a:graphic>
          </wp:inline>
        </w:drawing>
      </w:r>
    </w:p>
    <w:p w14:paraId="7D7421E9">
      <w:pPr>
        <w:pBdr>
          <w:top w:val="none" w:color="999999" w:sz="0" w:space="0"/>
          <w:left w:val="single" w:color="999999" w:sz="4" w:space="0"/>
          <w:bottom w:val="single" w:color="999999" w:sz="4" w:space="0"/>
          <w:right w:val="single" w:color="999999" w:sz="4" w:space="0"/>
        </w:pBdr>
        <w:spacing w:before="100" w:after="0"/>
      </w:pPr>
      <w:r>
        <w:rPr>
          <w:rFonts w:ascii="Times New Roman" w:hAnsi="Times New Roman" w:eastAsia="Times New Roman" w:cs="Times New Roman"/>
          <w:i/>
          <w:iCs/>
          <w:color w:val="999999"/>
          <w:sz w:val="16"/>
          <w:szCs w:val="16"/>
        </w:rPr>
        <w:drawing>
          <wp:inline distT="0" distB="0" distL="114300" distR="114300">
            <wp:extent cx="3183255" cy="1426210"/>
            <wp:effectExtent l="0" t="0" r="1714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3183255" cy="1426210"/>
                    </a:xfrm>
                    <a:prstGeom prst="rect">
                      <a:avLst/>
                    </a:prstGeom>
                  </pic:spPr>
                </pic:pic>
              </a:graphicData>
            </a:graphic>
          </wp:inline>
        </w:drawing>
      </w:r>
      <w:r>
        <w:rPr>
          <w:rFonts w:ascii="Times New Roman" w:hAnsi="Times New Roman" w:eastAsia="Times New Roman" w:cs="Times New Roman"/>
          <w:i/>
          <w:iCs/>
          <w:color w:val="999999"/>
          <w:sz w:val="16"/>
          <w:szCs w:val="16"/>
        </w:rPr>
        <w:t xml:space="preserve"> </w:t>
      </w:r>
    </w:p>
    <w:p w14:paraId="79AD1FF4">
      <w:pPr>
        <w:spacing w:before="40" w:after="100"/>
        <w:jc w:val="center"/>
      </w:pPr>
      <w:r>
        <w:rPr>
          <w:rFonts w:ascii="Times New Roman" w:hAnsi="Times New Roman" w:eastAsia="Times New Roman" w:cs="Times New Roman"/>
          <w:b/>
          <w:bCs/>
          <w:sz w:val="16"/>
          <w:szCs w:val="16"/>
        </w:rPr>
        <w:t xml:space="preserve">Fig. 2.  </w:t>
      </w:r>
      <w:r>
        <w:rPr>
          <w:rFonts w:ascii="Times New Roman" w:hAnsi="Times New Roman" w:eastAsia="Times New Roman" w:cs="Times New Roman"/>
          <w:i/>
          <w:iCs/>
          <w:sz w:val="16"/>
          <w:szCs w:val="16"/>
        </w:rPr>
        <w:t>(a) Normalised gain vs. normalised frequency for SRC and PRC at Q = 0.5, 1, 2, 5. (b) Simulink ZVS verification: switching-node voltage (</w:t>
      </w:r>
      <w:r>
        <w:rPr>
          <w:rFonts w:cs="Times New Roman"/>
          <w:i/>
          <w:iCs/>
          <w:sz w:val="16"/>
          <w:szCs w:val="16"/>
          <w:lang w:val="en"/>
          <w:woUserID w:val="1"/>
        </w:rPr>
        <w:t>blue</w:t>
      </w:r>
      <w:r>
        <w:rPr>
          <w:rFonts w:ascii="Times New Roman" w:hAnsi="Times New Roman" w:eastAsia="Times New Roman" w:cs="Times New Roman"/>
          <w:i/>
          <w:iCs/>
          <w:sz w:val="16"/>
          <w:szCs w:val="16"/>
        </w:rPr>
        <w:t>) and resonant tank current (</w:t>
      </w:r>
      <w:r>
        <w:rPr>
          <w:rFonts w:cs="Times New Roman"/>
          <w:i/>
          <w:iCs/>
          <w:sz w:val="16"/>
          <w:szCs w:val="16"/>
          <w:lang w:val="en"/>
          <w:woUserID w:val="1"/>
        </w:rPr>
        <w:t>red</w:t>
      </w:r>
      <w:r>
        <w:rPr>
          <w:rFonts w:ascii="Times New Roman" w:hAnsi="Times New Roman" w:eastAsia="Times New Roman" w:cs="Times New Roman"/>
          <w:i/>
          <w:iCs/>
          <w:sz w:val="16"/>
          <w:szCs w:val="16"/>
        </w:rPr>
        <w:t>) confirming zero-voltage turn-on.</w:t>
      </w:r>
    </w:p>
    <w:p w14:paraId="43A1B758">
      <w:pPr>
        <w:spacing w:before="160" w:after="80"/>
        <w:jc w:val="center"/>
      </w:pPr>
      <w:r>
        <w:rPr>
          <w:rFonts w:ascii="Times New Roman" w:hAnsi="Times New Roman" w:eastAsia="Times New Roman" w:cs="Times New Roman"/>
          <w:b/>
          <w:bCs/>
          <w:sz w:val="18"/>
          <w:szCs w:val="18"/>
        </w:rPr>
        <w:t xml:space="preserve">IV. </w:t>
      </w:r>
      <w:r>
        <w:rPr>
          <w:rFonts w:cs="Times New Roman"/>
          <w:b/>
          <w:bCs/>
          <w:sz w:val="18"/>
          <w:szCs w:val="18"/>
          <w:lang w:val="en"/>
          <w:woUserID w:val="1"/>
        </w:rPr>
        <w:t>ANALYSIS AND DESIGN OF LLC AND LCC TOPOLOGIES</w:t>
      </w:r>
    </w:p>
    <w:p w14:paraId="084678BF">
      <w:pPr>
        <w:spacing w:before="0" w:after="80" w:line="230" w:lineRule="auto"/>
        <w:ind w:firstLine="200"/>
        <w:jc w:val="both"/>
      </w:pPr>
      <w:r>
        <w:rPr>
          <w:rFonts w:ascii="Times New Roman" w:hAnsi="Times New Roman" w:eastAsia="Times New Roman" w:cs="Times New Roman"/>
          <w:b w:val="0"/>
          <w:bCs w:val="0"/>
          <w:i w:val="0"/>
          <w:iCs w:val="0"/>
          <w:sz w:val="18"/>
          <w:szCs w:val="18"/>
        </w:rPr>
        <w:t>Both the SRC and PRC carry intrinsic limitations that prevent reliable high-efficiency operation across the full load range: the SRC cannot regulate at light load, and the PRC carries high circulating current at all loads. The LLC and LCC multi-resonant topologies address these shortcomings.</w:t>
      </w:r>
    </w:p>
    <w:p w14:paraId="783118ED">
      <w:pPr>
        <w:spacing w:before="100" w:after="40"/>
        <w:jc w:val="left"/>
      </w:pPr>
      <w:r>
        <w:rPr>
          <w:rFonts w:ascii="Times New Roman" w:hAnsi="Times New Roman" w:eastAsia="Times New Roman" w:cs="Times New Roman"/>
          <w:i/>
          <w:iCs/>
          <w:sz w:val="18"/>
          <w:szCs w:val="18"/>
        </w:rPr>
        <w:t>A. LLC Tank Analysis and Gain</w:t>
      </w:r>
    </w:p>
    <w:p w14:paraId="4BA63BB7">
      <w:pPr>
        <w:spacing w:before="0" w:after="80" w:line="230" w:lineRule="auto"/>
        <w:ind w:firstLine="200"/>
        <w:jc w:val="both"/>
      </w:pPr>
      <w:r>
        <w:rPr>
          <w:rFonts w:ascii="Times New Roman" w:hAnsi="Times New Roman" w:eastAsia="Times New Roman" w:cs="Times New Roman"/>
          <w:b w:val="0"/>
          <w:bCs w:val="0"/>
          <w:i w:val="0"/>
          <w:iCs w:val="0"/>
          <w:sz w:val="18"/>
          <w:szCs w:val="18"/>
        </w:rPr>
        <w:t>The LLC converter adds the transformer magnetising inductance L_m as a third tank element in parallel with R_ac. Two characteristic resonant frequencies result:</w:t>
      </w:r>
    </w:p>
    <w:p w14:paraId="180778FA">
      <w:pPr>
        <w:spacing w:before="40" w:after="60"/>
        <w:jc w:val="center"/>
      </w:pPr>
      <w:r>
        <w:rPr>
          <w:rFonts w:ascii="Times New Roman" w:hAnsi="Times New Roman" w:eastAsia="Times New Roman" w:cs="Times New Roman"/>
          <w:b w:val="0"/>
          <w:bCs w:val="0"/>
          <w:i/>
          <w:iCs/>
          <w:sz w:val="18"/>
          <w:szCs w:val="18"/>
        </w:rPr>
        <w:t>f_{r1} = 1/(2π√(L_r C_r)),   f_{r2} = 1/(2π√((L_r + L_m)C_r))</w:t>
      </w:r>
    </w:p>
    <w:p w14:paraId="18D68B8E">
      <w:pPr>
        <w:spacing w:before="0" w:after="80" w:line="230" w:lineRule="auto"/>
        <w:ind w:firstLine="200"/>
        <w:jc w:val="both"/>
      </w:pPr>
      <w:r>
        <w:rPr>
          <w:rFonts w:ascii="Times New Roman" w:hAnsi="Times New Roman" w:eastAsia="Times New Roman" w:cs="Times New Roman"/>
          <w:b w:val="0"/>
          <w:bCs w:val="0"/>
          <w:i w:val="0"/>
          <w:iCs w:val="0"/>
          <w:sz w:val="18"/>
          <w:szCs w:val="18"/>
        </w:rPr>
        <w:t>At f_s = f_{r1}, L_m acts as an open circuit relative to the series tank and the gain equals unity for any load</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the natural rated operating point. For f_{r2} &lt; f_s &lt; f_{r1} the gain can exceed unity. For f_s &gt; f_{r1} the gain decreases monotonically, providing the converter's stable frequency-control region. Operation below f_{r2} must be avoided to prevent uncontrolled gain peaking.</w:t>
      </w:r>
    </w:p>
    <w:p w14:paraId="5D89AFC2">
      <w:pPr>
        <w:spacing w:before="0" w:after="80" w:line="230" w:lineRule="auto"/>
        <w:ind w:firstLine="200"/>
        <w:jc w:val="both"/>
      </w:pPr>
      <w:r>
        <w:rPr>
          <w:rFonts w:ascii="Times New Roman" w:hAnsi="Times New Roman" w:eastAsia="Times New Roman" w:cs="Times New Roman"/>
          <w:b w:val="0"/>
          <w:bCs w:val="0"/>
          <w:i w:val="0"/>
          <w:iCs w:val="0"/>
          <w:sz w:val="18"/>
          <w:szCs w:val="18"/>
        </w:rPr>
        <w:t>The LLC design used in the closed-loop Simulink model adopts: L_r = 200 μH, C_r = 12.6 nF, L_m = 500 μH (k = L_m/L_r = 2.5), C_o = 220 μF, with an open-loop switching frequency of 128 kHz giving f_{r1} ≈ 100.3 kHz. The magnetising inductance L_m is modelled inside the transformer block, and no external L_m element is added</w:t>
      </w:r>
      <w:r>
        <w:rPr>
          <w:rFonts w:cs="Times New Roman"/>
          <w:b w:val="0"/>
          <w:bCs w:val="0"/>
          <w:i w:val="0"/>
          <w:iCs w:val="0"/>
          <w:sz w:val="18"/>
          <w:szCs w:val="18"/>
          <w:lang w:val="en"/>
          <w:woUserID w:val="1"/>
        </w:rPr>
        <w:t xml:space="preserve"> </w:t>
      </w:r>
      <w:r>
        <w:rPr>
          <w:rFonts w:ascii="Times New Roman" w:hAnsi="Times New Roman" w:eastAsia="Times New Roman" w:cs="Times New Roman"/>
          <w:b w:val="0"/>
          <w:bCs w:val="0"/>
          <w:i w:val="0"/>
          <w:iCs w:val="0"/>
          <w:sz w:val="18"/>
          <w:szCs w:val="18"/>
        </w:rPr>
        <w:t>a critical modelling rule confirmed during simulation debugging. An important characteristic of the LLC is that L_m provides a continuously circulating magnetising current even at zero load, ensuring the body-diode discharge path is always active and ZVS is preserved down to no load.</w:t>
      </w:r>
    </w:p>
    <w:p w14:paraId="17E089FD">
      <w:pPr>
        <w:spacing w:before="100" w:after="40"/>
        <w:jc w:val="left"/>
      </w:pPr>
      <w:r>
        <w:rPr>
          <w:rFonts w:ascii="Times New Roman" w:hAnsi="Times New Roman" w:eastAsia="Times New Roman" w:cs="Times New Roman"/>
          <w:i/>
          <w:iCs/>
          <w:sz w:val="18"/>
          <w:szCs w:val="18"/>
        </w:rPr>
        <w:t>B. LCC Tank Analysis and Gain</w:t>
      </w:r>
    </w:p>
    <w:p w14:paraId="33366FC4">
      <w:pPr>
        <w:spacing w:before="0" w:after="80" w:line="230" w:lineRule="auto"/>
        <w:ind w:firstLine="200"/>
        <w:jc w:val="both"/>
      </w:pPr>
      <w:r>
        <w:rPr>
          <w:rFonts w:ascii="Times New Roman" w:hAnsi="Times New Roman" w:eastAsia="Times New Roman" w:cs="Times New Roman"/>
          <w:b w:val="0"/>
          <w:bCs w:val="0"/>
          <w:i w:val="0"/>
          <w:iCs w:val="0"/>
          <w:sz w:val="18"/>
          <w:szCs w:val="18"/>
        </w:rPr>
        <w:t>The LCC converter introduces a parallel capacitor C</w:t>
      </w:r>
      <w:r>
        <w:rPr>
          <w:rFonts w:cs="Times New Roman"/>
          <w:b w:val="0"/>
          <w:bCs w:val="0"/>
          <w:i w:val="0"/>
          <w:iCs w:val="0"/>
          <w:sz w:val="18"/>
          <w:szCs w:val="18"/>
          <w:lang w:val="en"/>
          <w:woUserID w:val="1"/>
        </w:rPr>
        <w:t>_</w:t>
      </w:r>
      <w:r>
        <w:rPr>
          <w:rFonts w:ascii="Times New Roman" w:hAnsi="Times New Roman" w:eastAsia="Times New Roman" w:cs="Times New Roman"/>
          <w:b w:val="0"/>
          <w:bCs w:val="0"/>
          <w:i w:val="0"/>
          <w:iCs w:val="0"/>
          <w:sz w:val="18"/>
          <w:szCs w:val="18"/>
        </w:rPr>
        <w:t>p across the transformer primary in addition to the series L_r–C_r tank, giving a three-element reactive network: L_r (series), C_r (series), C_p (parallel). The additional design parameters are the capacitance ratio A = C_r/C_p and inductance ratio λ = L_m/L_r. The LCC design adopted for closed-loop simulation uses: L_r = 50 μH, C_r = 47 nF, C_p = 68 nF, C_o = 220</w:t>
      </w:r>
      <w:r>
        <w:rPr>
          <w:rFonts w:cs="Times New Roman"/>
          <w:b w:val="0"/>
          <w:bCs w:val="0"/>
          <w:i w:val="0"/>
          <w:iCs w:val="0"/>
          <w:sz w:val="18"/>
          <w:szCs w:val="18"/>
          <w:lang w:val="en"/>
          <w:woUserID w:val="1"/>
        </w:rPr>
        <w:t>0</w:t>
      </w:r>
      <w:r>
        <w:rPr>
          <w:rFonts w:ascii="Times New Roman" w:hAnsi="Times New Roman" w:eastAsia="Times New Roman" w:cs="Times New Roman"/>
          <w:b w:val="0"/>
          <w:bCs w:val="0"/>
          <w:i w:val="0"/>
          <w:iCs w:val="0"/>
          <w:sz w:val="18"/>
          <w:szCs w:val="18"/>
        </w:rPr>
        <w:t xml:space="preserve"> μF, and an operating frequency of 152 kHz. At rated conditions: A = C_r/C_p = 47/68 ≈ 0.69, and f_r ≈ 103.7 kHz. The larger output capacitor (2200 μF versus 220 μF for the LLC) reflects the need to buffer higher reactive-current excursions in the LCC tank.</w:t>
      </w:r>
    </w:p>
    <w:p w14:paraId="291B0075">
      <w:pPr>
        <w:spacing w:before="0" w:after="80" w:line="230" w:lineRule="auto"/>
        <w:ind w:firstLine="200"/>
        <w:jc w:val="both"/>
      </w:pPr>
      <w:r>
        <w:rPr>
          <w:rFonts w:ascii="Times New Roman" w:hAnsi="Times New Roman" w:eastAsia="Times New Roman" w:cs="Times New Roman"/>
          <w:b w:val="0"/>
          <w:bCs w:val="0"/>
          <w:i w:val="0"/>
          <w:iCs w:val="0"/>
          <w:sz w:val="18"/>
          <w:szCs w:val="18"/>
        </w:rPr>
        <w:t>Comparing the LCC gain curve with the LLC at identical operating point shows the LCC exhibits a more pronounced sub-resonance gain peak (approximately 2.5 versus 1.5 for the LLC), offering wider gain-boost capability for large input or load variations at the cost of requiring tighter frequency-control precision to avoid the gain-peaking region. Above resonance both topologies show a monotonically decreasing gain slope.</w:t>
      </w:r>
    </w:p>
    <w:p w14:paraId="2FCCA7A7">
      <w:pPr>
        <w:spacing w:before="100" w:after="40"/>
        <w:jc w:val="left"/>
      </w:pPr>
      <w:r>
        <w:rPr>
          <w:rFonts w:ascii="Times New Roman" w:hAnsi="Times New Roman" w:eastAsia="Times New Roman" w:cs="Times New Roman"/>
          <w:i/>
          <w:iCs/>
          <w:sz w:val="18"/>
          <w:szCs w:val="18"/>
        </w:rPr>
        <w:t>C. LLC Optimal Design Procedure</w:t>
      </w:r>
    </w:p>
    <w:p w14:paraId="03C1FDE9">
      <w:pPr>
        <w:spacing w:before="0" w:after="80" w:line="230" w:lineRule="auto"/>
        <w:ind w:firstLine="200"/>
        <w:jc w:val="both"/>
      </w:pPr>
      <w:r>
        <w:rPr>
          <w:rFonts w:ascii="Times New Roman" w:hAnsi="Times New Roman" w:eastAsia="Times New Roman" w:cs="Times New Roman"/>
          <w:b w:val="0"/>
          <w:bCs w:val="0"/>
          <w:i w:val="0"/>
          <w:iCs w:val="0"/>
          <w:sz w:val="18"/>
          <w:szCs w:val="18"/>
        </w:rPr>
        <w:t>The systematic LLC design procedure begins with the transformer turns ratio n = V_in/V_out ≈ 11, the required maximum gain K_max at the minimum input voltage, and the inductance ratio k = L_m/L_r chosen in the range 4–10 (larger k minimises magnetising current but narrows the gain range; k = 2.5 was adopted here to provide a wider gain window). The quality factor Q is selected between 0.3 and 0.7 at rated load. The resonant elements then follow from:</w:t>
      </w:r>
    </w:p>
    <w:p w14:paraId="39896CCC">
      <w:pPr>
        <w:spacing w:before="40" w:after="60"/>
        <w:jc w:val="center"/>
      </w:pPr>
      <w:r>
        <w:rPr>
          <w:rFonts w:ascii="Times New Roman" w:hAnsi="Times New Roman" w:eastAsia="Times New Roman" w:cs="Times New Roman"/>
          <w:b w:val="0"/>
          <w:bCs w:val="0"/>
          <w:i/>
          <w:iCs/>
          <w:sz w:val="18"/>
          <w:szCs w:val="18"/>
        </w:rPr>
        <w:t>L_r = Q R_{ac} / (2π f_r),   C_r = 1/(2π f_r Q R_{ac}),   L_m = k L_r</w:t>
      </w:r>
    </w:p>
    <w:p w14:paraId="431EE922">
      <w:pPr>
        <w:spacing w:before="0" w:after="80" w:line="230" w:lineRule="auto"/>
        <w:ind w:firstLine="200"/>
        <w:jc w:val="both"/>
      </w:pPr>
      <w:r>
        <w:rPr>
          <w:rFonts w:ascii="Times New Roman" w:hAnsi="Times New Roman" w:eastAsia="Times New Roman" w:cs="Times New Roman"/>
          <w:b w:val="0"/>
          <w:bCs w:val="0"/>
          <w:i w:val="0"/>
          <w:iCs w:val="0"/>
          <w:sz w:val="18"/>
          <w:szCs w:val="18"/>
        </w:rPr>
        <w:t>The LCC extends this procedure with the additional step of selecting C_p = C_r/A once C_r is known. For the designed LCC (A ≈ 0.69): C_p = 47/0.69 ≈ 68 nF, consistent with the adopted value. Both design procedures conclude with a verification that the computed gain peak K_peak satisfies K_peak ≥ K_max, ensuring the converter can reach the target output under all specified conditions.</w:t>
      </w:r>
    </w:p>
    <w:p w14:paraId="11F411B2">
      <w:pPr>
        <w:pBdr>
          <w:top w:val="single" w:color="999999" w:sz="4"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92780" cy="2037715"/>
            <wp:effectExtent l="0" t="0" r="762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3192780" cy="2037715"/>
                    </a:xfrm>
                    <a:prstGeom prst="rect">
                      <a:avLst/>
                    </a:prstGeom>
                  </pic:spPr>
                </pic:pic>
              </a:graphicData>
            </a:graphic>
          </wp:inline>
        </w:drawing>
      </w:r>
    </w:p>
    <w:p w14:paraId="34AEC89C">
      <w:pPr>
        <w:numPr>
          <w:numId w:val="0"/>
        </w:numPr>
        <w:pBdr>
          <w:top w:val="none" w:color="999999" w:sz="0" w:space="0"/>
          <w:left w:val="single" w:color="999999" w:sz="4" w:space="0"/>
          <w:bottom w:val="none" w:color="999999" w:sz="0" w:space="0"/>
          <w:right w:val="single" w:color="999999" w:sz="4" w:space="0"/>
        </w:pBdr>
        <w:spacing w:before="100" w:after="0"/>
        <w:jc w:val="center"/>
        <w:rPr>
          <w:rFonts w:hint="default"/>
          <w:lang w:val="en"/>
          <w:woUserID w:val="1"/>
        </w:rPr>
      </w:pPr>
      <w:r>
        <w:rPr>
          <w:rFonts w:hint="default"/>
          <w:lang w:val="en"/>
          <w:woUserID w:val="1"/>
        </w:rPr>
        <w:t>(a)</w:t>
      </w:r>
    </w:p>
    <w:p w14:paraId="405E232D">
      <w:pPr>
        <w:pBdr>
          <w:top w:val="none" w:color="999999" w:sz="0"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79445" cy="2102485"/>
            <wp:effectExtent l="0" t="0" r="190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3179445" cy="2102485"/>
                    </a:xfrm>
                    <a:prstGeom prst="rect">
                      <a:avLst/>
                    </a:prstGeom>
                  </pic:spPr>
                </pic:pic>
              </a:graphicData>
            </a:graphic>
          </wp:inline>
        </w:drawing>
      </w:r>
    </w:p>
    <w:p w14:paraId="414A4813">
      <w:pPr>
        <w:pBdr>
          <w:top w:val="none" w:color="999999" w:sz="0" w:space="0"/>
          <w:left w:val="single" w:color="999999" w:sz="4" w:space="0"/>
          <w:bottom w:val="none" w:color="999999" w:sz="0" w:space="0"/>
          <w:right w:val="single" w:color="999999" w:sz="4" w:space="0"/>
        </w:pBdr>
        <w:spacing w:before="100" w:after="0"/>
        <w:jc w:val="center"/>
        <w:rPr>
          <w:rFonts w:hint="default"/>
          <w:lang w:val="en"/>
          <w:woUserID w:val="1"/>
        </w:rPr>
      </w:pPr>
      <w:r>
        <w:rPr>
          <w:rFonts w:hint="default"/>
          <w:lang w:val="en"/>
          <w:woUserID w:val="1"/>
        </w:rPr>
        <w:t>(b)</w:t>
      </w:r>
    </w:p>
    <w:p w14:paraId="264285E1">
      <w:pPr>
        <w:pBdr>
          <w:top w:val="none" w:color="999999" w:sz="0"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87065" cy="2226310"/>
            <wp:effectExtent l="0" t="0" r="1333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3187065" cy="2226310"/>
                    </a:xfrm>
                    <a:prstGeom prst="rect">
                      <a:avLst/>
                    </a:prstGeom>
                  </pic:spPr>
                </pic:pic>
              </a:graphicData>
            </a:graphic>
          </wp:inline>
        </w:drawing>
      </w:r>
    </w:p>
    <w:p w14:paraId="601C81D0">
      <w:pPr>
        <w:pBdr>
          <w:top w:val="none" w:color="999999" w:sz="0" w:space="0"/>
          <w:left w:val="single" w:color="999999" w:sz="4" w:space="0"/>
          <w:bottom w:val="none" w:color="999999" w:sz="0" w:space="0"/>
          <w:right w:val="single" w:color="999999" w:sz="4" w:space="0"/>
        </w:pBdr>
        <w:spacing w:before="100" w:after="0"/>
        <w:jc w:val="center"/>
        <w:rPr>
          <w:rFonts w:hint="default"/>
          <w:lang w:val="en"/>
        </w:rPr>
      </w:pPr>
      <w:r>
        <w:rPr>
          <w:rFonts w:hint="default"/>
          <w:lang w:val="en"/>
          <w:woUserID w:val="1"/>
        </w:rPr>
        <w:t>(c)</w:t>
      </w:r>
      <w:r>
        <w:rPr>
          <w:rFonts w:hint="default"/>
          <w:lang w:val="en"/>
        </w:rPr>
        <w:drawing>
          <wp:inline distT="0" distB="0" distL="114300" distR="114300">
            <wp:extent cx="3190875" cy="2478405"/>
            <wp:effectExtent l="0" t="0" r="9525" b="171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3190875" cy="2478405"/>
                    </a:xfrm>
                    <a:prstGeom prst="rect">
                      <a:avLst/>
                    </a:prstGeom>
                  </pic:spPr>
                </pic:pic>
              </a:graphicData>
            </a:graphic>
          </wp:inline>
        </w:drawing>
      </w:r>
    </w:p>
    <w:p w14:paraId="46655762">
      <w:pPr>
        <w:pBdr>
          <w:top w:val="none" w:color="999999" w:sz="0" w:space="0"/>
          <w:left w:val="single" w:color="999999" w:sz="4" w:space="0"/>
          <w:bottom w:val="single" w:color="999999" w:sz="4" w:space="0"/>
          <w:right w:val="single" w:color="999999" w:sz="4" w:space="0"/>
        </w:pBdr>
        <w:spacing w:before="100" w:after="0"/>
        <w:jc w:val="center"/>
        <w:rPr>
          <w:rFonts w:hint="default"/>
          <w:lang w:val="en"/>
          <w:woUserID w:val="1"/>
        </w:rPr>
      </w:pPr>
      <w:r>
        <w:rPr>
          <w:rFonts w:hint="default"/>
          <w:lang w:val="en"/>
          <w:woUserID w:val="1"/>
        </w:rPr>
        <w:t>(d)</w:t>
      </w:r>
    </w:p>
    <w:p w14:paraId="49586AF8">
      <w:pPr>
        <w:spacing w:before="40" w:after="100"/>
        <w:jc w:val="center"/>
      </w:pPr>
      <w:r>
        <w:rPr>
          <w:rFonts w:ascii="Times New Roman" w:hAnsi="Times New Roman" w:eastAsia="Times New Roman" w:cs="Times New Roman"/>
          <w:b/>
          <w:bCs/>
          <w:sz w:val="16"/>
          <w:szCs w:val="16"/>
        </w:rPr>
        <w:t xml:space="preserve">Fig. 3.  </w:t>
      </w:r>
      <w:r>
        <w:rPr>
          <w:rFonts w:ascii="Times New Roman" w:hAnsi="Times New Roman" w:eastAsia="Times New Roman" w:cs="Times New Roman"/>
          <w:i/>
          <w:iCs/>
          <w:sz w:val="16"/>
          <w:szCs w:val="16"/>
        </w:rPr>
        <w:t>(a)</w:t>
      </w:r>
      <w:r>
        <w:rPr>
          <w:rFonts w:cs="Times New Roman"/>
          <w:i/>
          <w:iCs/>
          <w:sz w:val="16"/>
          <w:szCs w:val="16"/>
          <w:lang w:val="en"/>
          <w:woUserID w:val="1"/>
        </w:rPr>
        <w:t>,(b)</w:t>
      </w:r>
      <w:r>
        <w:rPr>
          <w:rFonts w:ascii="Times New Roman" w:hAnsi="Times New Roman" w:eastAsia="Times New Roman" w:cs="Times New Roman"/>
          <w:i/>
          <w:iCs/>
          <w:sz w:val="16"/>
          <w:szCs w:val="16"/>
        </w:rPr>
        <w:t xml:space="preserve"> LLC and LCC voltage gain vs. normalised frequency across Q = 0–0.40. (</w:t>
      </w:r>
      <w:r>
        <w:rPr>
          <w:rFonts w:cs="Times New Roman"/>
          <w:i/>
          <w:iCs/>
          <w:sz w:val="16"/>
          <w:szCs w:val="16"/>
          <w:lang w:val="en"/>
          <w:woUserID w:val="1"/>
        </w:rPr>
        <w:t>c</w:t>
      </w:r>
      <w:r>
        <w:rPr>
          <w:rFonts w:ascii="Times New Roman" w:hAnsi="Times New Roman" w:eastAsia="Times New Roman" w:cs="Times New Roman"/>
          <w:i/>
          <w:iCs/>
          <w:sz w:val="16"/>
          <w:szCs w:val="16"/>
        </w:rPr>
        <w:t>)</w:t>
      </w:r>
      <w:r>
        <w:rPr>
          <w:rFonts w:cs="Times New Roman"/>
          <w:i/>
          <w:iCs/>
          <w:sz w:val="16"/>
          <w:szCs w:val="16"/>
          <w:lang w:val="en"/>
          <w:woUserID w:val="1"/>
        </w:rPr>
        <w:t>,(d)</w:t>
      </w:r>
      <w:r>
        <w:rPr>
          <w:rFonts w:ascii="Times New Roman" w:hAnsi="Times New Roman" w:eastAsia="Times New Roman" w:cs="Times New Roman"/>
          <w:i/>
          <w:iCs/>
          <w:sz w:val="16"/>
          <w:szCs w:val="16"/>
        </w:rPr>
        <w:t xml:space="preserve"> Design flowcharts for LLC and LCC with component-selection steps annotated.</w:t>
      </w:r>
    </w:p>
    <w:p w14:paraId="1A22A716">
      <w:pPr>
        <w:spacing w:before="100" w:after="40"/>
        <w:jc w:val="left"/>
      </w:pPr>
      <w:r>
        <w:rPr>
          <w:rFonts w:ascii="Times New Roman" w:hAnsi="Times New Roman" w:eastAsia="Times New Roman" w:cs="Times New Roman"/>
          <w:i/>
          <w:iCs/>
          <w:sz w:val="18"/>
          <w:szCs w:val="18"/>
        </w:rPr>
        <w:t>D. ZVS in LLC and LCC</w:t>
      </w:r>
    </w:p>
    <w:p w14:paraId="1E80954F">
      <w:pPr>
        <w:spacing w:before="0" w:after="80" w:line="230" w:lineRule="auto"/>
        <w:ind w:firstLine="200"/>
        <w:jc w:val="both"/>
      </w:pPr>
      <w:r>
        <w:rPr>
          <w:rFonts w:ascii="Times New Roman" w:hAnsi="Times New Roman" w:eastAsia="Times New Roman" w:cs="Times New Roman"/>
          <w:b w:val="0"/>
          <w:bCs w:val="0"/>
          <w:i w:val="0"/>
          <w:iCs w:val="0"/>
          <w:sz w:val="18"/>
          <w:szCs w:val="18"/>
        </w:rPr>
        <w:t>ZVS in both multi-resonant topologies follows the same inductive-mode mechanism: the frequency floor (100 kHz for LLC, 110 kHz for LCC) enforced by the PI controller's saturation block ensures f_s ≥ f_{r1} at all times, maintaining a lagging tank current. The LLC exhibits the widest ZVS range of all four topologies: the magnetising current i_m, which circulates continuously through L_m at all load levels, guarantees the body-diode discharge condition is met even at zero load where the series resonant current approaches zero. The LCC achieves similar ZVS for f_s &gt; f_{r1} but the parallel capacitor C_p slightly attenuates the magnetising-current contribution. Closed-loop transient simulation confirms stable 51 V output regulation with ZVS preserved throughout all setpoint changes.</w:t>
      </w:r>
    </w:p>
    <w:p w14:paraId="3030DA29">
      <w:pPr>
        <w:spacing w:before="160" w:after="80"/>
        <w:jc w:val="center"/>
        <w:rPr>
          <w:rFonts w:hint="default"/>
          <w:lang w:val="en"/>
          <w:woUserID w:val="1"/>
        </w:rPr>
      </w:pPr>
      <w:r>
        <w:rPr>
          <w:rFonts w:ascii="Times New Roman" w:hAnsi="Times New Roman" w:eastAsia="Times New Roman" w:cs="Times New Roman"/>
          <w:b/>
          <w:bCs/>
          <w:sz w:val="18"/>
          <w:szCs w:val="18"/>
        </w:rPr>
        <w:t xml:space="preserve">V. </w:t>
      </w:r>
      <w:r>
        <w:rPr>
          <w:rFonts w:cs="Times New Roman"/>
          <w:b/>
          <w:bCs/>
          <w:sz w:val="18"/>
          <w:szCs w:val="18"/>
          <w:lang w:val="en"/>
          <w:woUserID w:val="1"/>
        </w:rPr>
        <w:t xml:space="preserve">MATHEMATICAL MODELLING,SMALL SIGNAL ANALYSIS AND CLOSED LOOP CONTROL </w:t>
      </w:r>
    </w:p>
    <w:p w14:paraId="4DA9E952">
      <w:pPr>
        <w:spacing w:before="0" w:after="80" w:line="230" w:lineRule="auto"/>
        <w:ind w:firstLine="200"/>
        <w:jc w:val="both"/>
      </w:pPr>
      <w:r>
        <w:rPr>
          <w:rFonts w:ascii="Times New Roman" w:hAnsi="Times New Roman" w:eastAsia="Times New Roman" w:cs="Times New Roman"/>
          <w:b w:val="0"/>
          <w:bCs w:val="0"/>
          <w:i w:val="0"/>
          <w:iCs w:val="0"/>
          <w:sz w:val="18"/>
          <w:szCs w:val="18"/>
        </w:rPr>
        <w:t>The LLC resonant converter is a nonlinear, high-order dynamic system that is not straightforwardly amenable to classical linear control design. To provide a rigorous theoretical foundation, this section derives the complete large-signal state-space model from first principles, extracts the control-oriented small-signal frequency-to-output transfer function, analyses open-loop stability via Bode plot, designs the PI controller, and describes the full Simulink closed-loop implementation.</w:t>
      </w:r>
    </w:p>
    <w:p w14:paraId="2B9B1D64">
      <w:pPr>
        <w:spacing w:before="100" w:after="40"/>
        <w:jc w:val="left"/>
      </w:pPr>
      <w:r>
        <w:rPr>
          <w:rFonts w:ascii="Times New Roman" w:hAnsi="Times New Roman" w:eastAsia="Times New Roman" w:cs="Times New Roman"/>
          <w:i/>
          <w:iCs/>
          <w:sz w:val="18"/>
          <w:szCs w:val="18"/>
        </w:rPr>
        <w:t>A. State Variables and Large-Signal State-Space Model</w:t>
      </w:r>
    </w:p>
    <w:p w14:paraId="12E6042A">
      <w:pPr>
        <w:spacing w:before="0" w:after="80" w:line="230" w:lineRule="auto"/>
        <w:ind w:firstLine="200"/>
        <w:jc w:val="both"/>
      </w:pPr>
      <w:r>
        <w:rPr>
          <w:rFonts w:ascii="Times New Roman" w:hAnsi="Times New Roman" w:eastAsia="Times New Roman" w:cs="Times New Roman"/>
          <w:b w:val="0"/>
          <w:bCs w:val="0"/>
          <w:i w:val="0"/>
          <w:iCs w:val="0"/>
          <w:sz w:val="18"/>
          <w:szCs w:val="18"/>
        </w:rPr>
        <w:t>Four energy-storage elements define the LLC state vector: the resonant inductor current i_r, the resonant capacitor voltage v_c, the magnetising inductor current i_m, and the output capacitor voltage v_o:</w:t>
      </w:r>
    </w:p>
    <w:p w14:paraId="19D1F4A0">
      <w:pPr>
        <w:spacing w:before="40" w:after="60"/>
        <w:jc w:val="center"/>
      </w:pPr>
      <w:r>
        <w:rPr>
          <w:rFonts w:ascii="Times New Roman" w:hAnsi="Times New Roman" w:eastAsia="Times New Roman" w:cs="Times New Roman"/>
          <w:b w:val="0"/>
          <w:bCs w:val="0"/>
          <w:i/>
          <w:iCs/>
          <w:sz w:val="18"/>
          <w:szCs w:val="18"/>
        </w:rPr>
        <w:t>x = [i_r   v_c   i_m   v_o]^ᵀ</w:t>
      </w:r>
    </w:p>
    <w:p w14:paraId="488530F2">
      <w:pPr>
        <w:spacing w:before="0" w:after="80" w:line="230" w:lineRule="auto"/>
        <w:ind w:firstLine="200"/>
        <w:jc w:val="both"/>
      </w:pPr>
      <w:r>
        <w:rPr>
          <w:rFonts w:ascii="Times New Roman" w:hAnsi="Times New Roman" w:eastAsia="Times New Roman" w:cs="Times New Roman"/>
          <w:b w:val="0"/>
          <w:bCs w:val="0"/>
          <w:i w:val="0"/>
          <w:iCs w:val="0"/>
          <w:sz w:val="18"/>
          <w:szCs w:val="18"/>
        </w:rPr>
        <w:t>Under FHA, the full-bridge inverter output is approximated by its fundamental sinusoidal component v_{ac}(t) = (4V_{in}/π)sin(ω_s t), which serves as the input to the resonant tank. Applying KVL to the resonant inductor loop, KCL at the resonant capacitor node, KVL to the magnetising inductance, and KCL at the output capacitor node:</w:t>
      </w:r>
    </w:p>
    <w:p w14:paraId="24FBC391">
      <w:pPr>
        <w:spacing w:before="40" w:after="60"/>
        <w:jc w:val="center"/>
      </w:pPr>
      <w:r>
        <w:rPr>
          <w:rFonts w:ascii="Times New Roman" w:hAnsi="Times New Roman" w:eastAsia="Times New Roman" w:cs="Times New Roman"/>
          <w:b w:val="0"/>
          <w:bCs w:val="0"/>
          <w:i/>
          <w:iCs/>
          <w:sz w:val="18"/>
          <w:szCs w:val="18"/>
        </w:rPr>
        <w:t>di_r/dt = (1/L_r)v_{ac} − (1/L_r)v_c</w:t>
      </w:r>
    </w:p>
    <w:p w14:paraId="4C8A7A98">
      <w:pPr>
        <w:spacing w:before="40" w:after="60"/>
        <w:jc w:val="center"/>
      </w:pPr>
      <w:r>
        <w:rPr>
          <w:rFonts w:ascii="Times New Roman" w:hAnsi="Times New Roman" w:eastAsia="Times New Roman" w:cs="Times New Roman"/>
          <w:b w:val="0"/>
          <w:bCs w:val="0"/>
          <w:i/>
          <w:iCs/>
          <w:sz w:val="18"/>
          <w:szCs w:val="18"/>
        </w:rPr>
        <w:t>dv_c/dt = (1/C_r)i_r − (1/C_r)i_m</w:t>
      </w:r>
    </w:p>
    <w:p w14:paraId="2C083A12">
      <w:pPr>
        <w:spacing w:before="40" w:after="60"/>
        <w:jc w:val="center"/>
      </w:pPr>
      <w:r>
        <w:rPr>
          <w:rFonts w:ascii="Times New Roman" w:hAnsi="Times New Roman" w:eastAsia="Times New Roman" w:cs="Times New Roman"/>
          <w:b w:val="0"/>
          <w:bCs w:val="0"/>
          <w:i/>
          <w:iCs/>
          <w:sz w:val="18"/>
          <w:szCs w:val="18"/>
        </w:rPr>
        <w:t>di_m/dt = (1/L_m)v_c − (1/(nL_m))v_o</w:t>
      </w:r>
    </w:p>
    <w:p w14:paraId="0C3FBC5A">
      <w:pPr>
        <w:spacing w:before="40" w:after="60"/>
        <w:jc w:val="center"/>
      </w:pPr>
      <w:r>
        <w:rPr>
          <w:rFonts w:ascii="Times New Roman" w:hAnsi="Times New Roman" w:eastAsia="Times New Roman" w:cs="Times New Roman"/>
          <w:b w:val="0"/>
          <w:bCs w:val="0"/>
          <w:i/>
          <w:iCs/>
          <w:sz w:val="18"/>
          <w:szCs w:val="18"/>
        </w:rPr>
        <w:t>dv_o/dt = (n/C_o)i_m − (1/(R_o C_o))v_o</w:t>
      </w:r>
    </w:p>
    <w:p w14:paraId="4FE34D6D">
      <w:pPr>
        <w:spacing w:before="0" w:after="80" w:line="230" w:lineRule="auto"/>
        <w:ind w:firstLine="200"/>
        <w:jc w:val="both"/>
      </w:pPr>
      <w:r>
        <w:rPr>
          <w:rFonts w:ascii="Times New Roman" w:hAnsi="Times New Roman" w:eastAsia="Times New Roman" w:cs="Times New Roman"/>
          <w:b w:val="0"/>
          <w:bCs w:val="0"/>
          <w:i w:val="0"/>
          <w:iCs w:val="0"/>
          <w:sz w:val="18"/>
          <w:szCs w:val="18"/>
        </w:rPr>
        <w:t>These four equations are assembled into the standard state-space form ẋ = Ax + Bv_{ac}, y = Cx:</w:t>
      </w:r>
    </w:p>
    <w:p w14:paraId="6C56E7DD">
      <w:pPr>
        <w:spacing w:before="10" w:after="0"/>
        <w:jc w:val="center"/>
      </w:pPr>
      <w:r>
        <w:rPr>
          <w:rFonts w:ascii="Times New Roman" w:hAnsi="Times New Roman" w:eastAsia="Times New Roman" w:cs="Times New Roman"/>
          <w:i/>
          <w:iCs/>
          <w:sz w:val="16"/>
          <w:szCs w:val="16"/>
        </w:rPr>
        <w:t>A = ⎡ 0        − 1/L_r        0           0      ⎤</w:t>
      </w:r>
    </w:p>
    <w:p w14:paraId="6F87575D">
      <w:pPr>
        <w:spacing w:before="0" w:after="0"/>
        <w:jc w:val="center"/>
      </w:pPr>
      <w:r>
        <w:rPr>
          <w:rFonts w:ascii="Times New Roman" w:hAnsi="Times New Roman" w:eastAsia="Times New Roman" w:cs="Times New Roman"/>
          <w:i/>
          <w:iCs/>
          <w:sz w:val="16"/>
          <w:szCs w:val="16"/>
        </w:rPr>
        <w:t xml:space="preserve">    ⎢ 1/C_r       0       − 1/C_r       0      ⎥</w:t>
      </w:r>
    </w:p>
    <w:p w14:paraId="00CAC80F">
      <w:pPr>
        <w:spacing w:before="0" w:after="0"/>
        <w:jc w:val="center"/>
      </w:pPr>
      <w:r>
        <w:rPr>
          <w:rFonts w:ascii="Times New Roman" w:hAnsi="Times New Roman" w:eastAsia="Times New Roman" w:cs="Times New Roman"/>
          <w:i/>
          <w:iCs/>
          <w:sz w:val="16"/>
          <w:szCs w:val="16"/>
        </w:rPr>
        <w:t xml:space="preserve">    ⎢ 0         1/L_m       0      −1/(nL_m)⎥</w:t>
      </w:r>
    </w:p>
    <w:p w14:paraId="28A5103A">
      <w:pPr>
        <w:spacing w:before="0" w:after="20"/>
        <w:jc w:val="center"/>
      </w:pPr>
      <w:r>
        <w:rPr>
          <w:rFonts w:ascii="Times New Roman" w:hAnsi="Times New Roman" w:eastAsia="Times New Roman" w:cs="Times New Roman"/>
          <w:i/>
          <w:iCs/>
          <w:sz w:val="16"/>
          <w:szCs w:val="16"/>
        </w:rPr>
        <w:t xml:space="preserve">    ⎣ 0           0        n/C_o  −1/(R_o C_o)⎦</w:t>
      </w:r>
    </w:p>
    <w:p w14:paraId="7798ADDB">
      <w:pPr>
        <w:spacing w:before="40" w:after="60"/>
        <w:jc w:val="center"/>
      </w:pPr>
      <w:r>
        <w:rPr>
          <w:rFonts w:ascii="Times New Roman" w:hAnsi="Times New Roman" w:eastAsia="Times New Roman" w:cs="Times New Roman"/>
          <w:b w:val="0"/>
          <w:bCs w:val="0"/>
          <w:i/>
          <w:iCs/>
          <w:sz w:val="18"/>
          <w:szCs w:val="18"/>
        </w:rPr>
        <w:t>B = [1/L_r   0   0   0]^ᵀ,   C = [0   0   0   1],   D = 0</w:t>
      </w:r>
    </w:p>
    <w:p w14:paraId="4B5E8BAF">
      <w:pPr>
        <w:spacing w:before="0" w:after="80" w:line="230" w:lineRule="auto"/>
        <w:ind w:firstLine="200"/>
        <w:jc w:val="both"/>
      </w:pPr>
      <w:r>
        <w:rPr>
          <w:rFonts w:ascii="Times New Roman" w:hAnsi="Times New Roman" w:eastAsia="Times New Roman" w:cs="Times New Roman"/>
          <w:b w:val="0"/>
          <w:bCs w:val="0"/>
          <w:i w:val="0"/>
          <w:iCs w:val="0"/>
          <w:sz w:val="18"/>
          <w:szCs w:val="18"/>
        </w:rPr>
        <w:t>Only the first element of B is non-zero because the bridge voltage v_{ac} excites the resonant tank exclusively through the series resonant inductor L_r; all other state variables evolve indirectly through the interconnected tank dynamics. The A matrix encodes the converter physics (L_r, C_r, L_m, C_o, R_o, n) and remains unchanged between the large-signal and small-signal formulations.</w:t>
      </w:r>
    </w:p>
    <w:p w14:paraId="5E6FCF79">
      <w:pPr>
        <w:spacing w:before="100" w:after="40"/>
        <w:jc w:val="left"/>
      </w:pPr>
      <w:r>
        <w:rPr>
          <w:rFonts w:ascii="Times New Roman" w:hAnsi="Times New Roman" w:eastAsia="Times New Roman" w:cs="Times New Roman"/>
          <w:i/>
          <w:iCs/>
          <w:sz w:val="18"/>
          <w:szCs w:val="18"/>
        </w:rPr>
        <w:t>B. Large-Signal Transfer Function</w:t>
      </w:r>
    </w:p>
    <w:p w14:paraId="781FFD55">
      <w:pPr>
        <w:spacing w:before="0" w:after="80" w:line="230" w:lineRule="auto"/>
        <w:ind w:firstLine="200"/>
        <w:jc w:val="both"/>
      </w:pPr>
      <w:r>
        <w:rPr>
          <w:rFonts w:ascii="Times New Roman" w:hAnsi="Times New Roman" w:eastAsia="Times New Roman" w:cs="Times New Roman"/>
          <w:b w:val="0"/>
          <w:bCs w:val="0"/>
          <w:i w:val="0"/>
          <w:iCs w:val="0"/>
          <w:sz w:val="18"/>
          <w:szCs w:val="18"/>
        </w:rPr>
        <w:t>The large-signal input-to-output transfer function G(s) = V_o(s)/V_{ac}(s) is obtained from the state-space representation:</w:t>
      </w:r>
    </w:p>
    <w:p w14:paraId="3681699A">
      <w:pPr>
        <w:spacing w:before="40" w:after="60"/>
        <w:jc w:val="center"/>
      </w:pPr>
      <w:r>
        <w:rPr>
          <w:rFonts w:ascii="Times New Roman" w:hAnsi="Times New Roman" w:eastAsia="Times New Roman" w:cs="Times New Roman"/>
          <w:b w:val="0"/>
          <w:bCs w:val="0"/>
          <w:i/>
          <w:iCs/>
          <w:sz w:val="18"/>
          <w:szCs w:val="18"/>
        </w:rPr>
        <w:t>G(s) = C(sI − A)^{−1} B</w:t>
      </w:r>
    </w:p>
    <w:p w14:paraId="59A9A9CB">
      <w:pPr>
        <w:spacing w:before="0" w:after="80" w:line="230" w:lineRule="auto"/>
        <w:ind w:firstLine="200"/>
        <w:jc w:val="both"/>
      </w:pPr>
      <w:r>
        <w:rPr>
          <w:rFonts w:ascii="Times New Roman" w:hAnsi="Times New Roman" w:eastAsia="Times New Roman" w:cs="Times New Roman"/>
          <w:b w:val="0"/>
          <w:bCs w:val="0"/>
          <w:i w:val="0"/>
          <w:iCs w:val="0"/>
          <w:sz w:val="18"/>
          <w:szCs w:val="18"/>
        </w:rPr>
        <w:t>The approximate factored form, valid near the resonant frequencies, is:</w:t>
      </w:r>
    </w:p>
    <w:p w14:paraId="65E2E1D7">
      <w:pPr>
        <w:spacing w:before="40" w:after="60"/>
        <w:jc w:val="center"/>
      </w:pPr>
      <w:r>
        <w:rPr>
          <w:rFonts w:ascii="Times New Roman" w:hAnsi="Times New Roman" w:eastAsia="Times New Roman" w:cs="Times New Roman"/>
          <w:b w:val="0"/>
          <w:bCs w:val="0"/>
          <w:i/>
          <w:iCs/>
          <w:sz w:val="18"/>
          <w:szCs w:val="18"/>
        </w:rPr>
        <w:t>G(s) ≈ K / [(s² + ω_r²)(s² + (1/R_o C_o)s + ω_m²)]</w:t>
      </w:r>
    </w:p>
    <w:p w14:paraId="5CF517B4">
      <w:pPr>
        <w:spacing w:before="0" w:after="80" w:line="230" w:lineRule="auto"/>
        <w:ind w:firstLine="200"/>
        <w:jc w:val="both"/>
      </w:pPr>
      <w:r>
        <w:rPr>
          <w:rFonts w:ascii="Times New Roman" w:hAnsi="Times New Roman" w:eastAsia="Times New Roman" w:cs="Times New Roman"/>
          <w:b w:val="0"/>
          <w:bCs w:val="0"/>
          <w:i w:val="0"/>
          <w:iCs w:val="0"/>
          <w:sz w:val="18"/>
          <w:szCs w:val="18"/>
        </w:rPr>
        <w:t>where ω_r = 1/√(L_r C_r), ω_m = 1/√(L_m C_o), and K = 1/(L_r C_r n C_o). This fourth-order transfer function exhibits two pairs of complex poles corresponding to the two natural resonant frequencies f_{r1} and f_{r2} of the LLC tank.</w:t>
      </w:r>
    </w:p>
    <w:p w14:paraId="25C0B991">
      <w:pPr>
        <w:spacing w:before="100" w:after="40"/>
        <w:jc w:val="left"/>
      </w:pPr>
      <w:r>
        <w:rPr>
          <w:rFonts w:ascii="Times New Roman" w:hAnsi="Times New Roman" w:eastAsia="Times New Roman" w:cs="Times New Roman"/>
          <w:i/>
          <w:iCs/>
          <w:sz w:val="18"/>
          <w:szCs w:val="18"/>
        </w:rPr>
        <w:t>C. Small-Signal Frequency-to-Output Transfer Function</w:t>
      </w:r>
    </w:p>
    <w:p w14:paraId="0B9FFC7C">
      <w:pPr>
        <w:spacing w:before="0" w:after="80" w:line="230" w:lineRule="auto"/>
        <w:ind w:firstLine="200"/>
        <w:jc w:val="both"/>
      </w:pPr>
      <w:r>
        <w:rPr>
          <w:rFonts w:ascii="Times New Roman" w:hAnsi="Times New Roman" w:eastAsia="Times New Roman" w:cs="Times New Roman"/>
          <w:b w:val="0"/>
          <w:bCs w:val="0"/>
          <w:i w:val="0"/>
          <w:iCs w:val="0"/>
          <w:sz w:val="18"/>
          <w:szCs w:val="18"/>
        </w:rPr>
        <w:t>The control-relevant transfer function relates a small perturbation in switching frequency δf_s to the resulting output-voltage perturbation δv_o. Beginning from the fundamental-component representation of the bridge voltage, a small angular frequency perturbation ω̂ about the operating-point frequency ω_0 is introduced:</w:t>
      </w:r>
    </w:p>
    <w:p w14:paraId="78624852">
      <w:pPr>
        <w:spacing w:before="40" w:after="60"/>
        <w:jc w:val="center"/>
      </w:pPr>
      <w:r>
        <w:rPr>
          <w:rFonts w:ascii="Times New Roman" w:hAnsi="Times New Roman" w:eastAsia="Times New Roman" w:cs="Times New Roman"/>
          <w:b w:val="0"/>
          <w:bCs w:val="0"/>
          <w:i/>
          <w:iCs/>
          <w:sz w:val="18"/>
          <w:szCs w:val="18"/>
        </w:rPr>
        <w:t>ω_s = ω_0 + ω̂,   v_{bridge}(t) = (4V_{in}/π)·sin(ω_s t)</w:t>
      </w:r>
    </w:p>
    <w:p w14:paraId="4713F3DA">
      <w:pPr>
        <w:spacing w:before="0" w:after="80" w:line="230" w:lineRule="auto"/>
        <w:ind w:firstLine="200"/>
        <w:jc w:val="both"/>
      </w:pPr>
      <w:r>
        <w:rPr>
          <w:rFonts w:ascii="Times New Roman" w:hAnsi="Times New Roman" w:eastAsia="Times New Roman" w:cs="Times New Roman"/>
          <w:b w:val="0"/>
          <w:bCs w:val="0"/>
          <w:i w:val="0"/>
          <w:iCs w:val="0"/>
          <w:sz w:val="18"/>
          <w:szCs w:val="18"/>
        </w:rPr>
        <w:t>Linearising with respect to ω̂ produces a modified input matrix B_ω that replaces B in the small-signal state equation:</w:t>
      </w:r>
    </w:p>
    <w:p w14:paraId="2D7B0DA1">
      <w:pPr>
        <w:spacing w:before="40" w:after="60"/>
        <w:jc w:val="center"/>
      </w:pPr>
      <w:r>
        <w:rPr>
          <w:rFonts w:ascii="Times New Roman" w:hAnsi="Times New Roman" w:eastAsia="Times New Roman" w:cs="Times New Roman"/>
          <w:b w:val="0"/>
          <w:bCs w:val="0"/>
          <w:i/>
          <w:iCs/>
          <w:sz w:val="18"/>
          <w:szCs w:val="18"/>
        </w:rPr>
        <w:t>δẋ = A·δx + B_ω·ω̂,   B_ω = [K_f/L_r   0   0   0]^ᵀ</w:t>
      </w:r>
    </w:p>
    <w:p w14:paraId="0539B562">
      <w:pPr>
        <w:spacing w:before="0" w:after="80" w:line="230" w:lineRule="auto"/>
        <w:ind w:firstLine="200"/>
        <w:jc w:val="both"/>
      </w:pPr>
      <w:r>
        <w:rPr>
          <w:rFonts w:ascii="Times New Roman" w:hAnsi="Times New Roman" w:eastAsia="Times New Roman" w:cs="Times New Roman"/>
          <w:b w:val="0"/>
          <w:bCs w:val="0"/>
          <w:i w:val="0"/>
          <w:iCs w:val="0"/>
          <w:sz w:val="18"/>
          <w:szCs w:val="18"/>
        </w:rPr>
        <w:t>where K_f is the frequency sensitivity constant capturing the partial derivative of the bridge voltage with respect to switching frequency at the operating point. The A matrix is identical to that of the large-signal model. The frequency-to-output transfer function is:</w:t>
      </w:r>
    </w:p>
    <w:p w14:paraId="561429F8">
      <w:pPr>
        <w:spacing w:before="40" w:after="60"/>
        <w:jc w:val="center"/>
      </w:pPr>
      <w:r>
        <w:rPr>
          <w:rFonts w:ascii="Times New Roman" w:hAnsi="Times New Roman" w:eastAsia="Times New Roman" w:cs="Times New Roman"/>
          <w:b w:val="0"/>
          <w:bCs w:val="0"/>
          <w:i/>
          <w:iCs/>
          <w:sz w:val="18"/>
          <w:szCs w:val="18"/>
        </w:rPr>
        <w:t>G_{vf}(s) = δV_o(s)/δω(s) = C(sI − A)^{−1} B_ω</w:t>
      </w:r>
    </w:p>
    <w:p w14:paraId="6C81BDD7">
      <w:pPr>
        <w:spacing w:before="0" w:after="80" w:line="230" w:lineRule="auto"/>
        <w:ind w:firstLine="200"/>
        <w:jc w:val="both"/>
      </w:pPr>
      <w:r>
        <w:rPr>
          <w:rFonts w:ascii="Times New Roman" w:hAnsi="Times New Roman" w:eastAsia="Times New Roman" w:cs="Times New Roman"/>
          <w:b w:val="0"/>
          <w:bCs w:val="0"/>
          <w:i w:val="0"/>
          <w:iCs w:val="0"/>
          <w:sz w:val="18"/>
          <w:szCs w:val="18"/>
        </w:rPr>
        <w:t>This transfer function—and not the large-signal G(s)—is the correct plant model for PI controller design, since the LLC is controlled by switching frequency rather than input voltage.</w:t>
      </w:r>
    </w:p>
    <w:p w14:paraId="147EAD43">
      <w:pPr>
        <w:spacing w:before="100" w:after="40"/>
        <w:jc w:val="left"/>
      </w:pPr>
      <w:r>
        <w:rPr>
          <w:rFonts w:cs="Times New Roman"/>
          <w:i/>
          <w:iCs/>
          <w:sz w:val="18"/>
          <w:szCs w:val="18"/>
          <w:lang w:val="en"/>
          <w:woUserID w:val="1"/>
        </w:rPr>
        <w:t>D</w:t>
      </w:r>
      <w:r>
        <w:rPr>
          <w:rFonts w:ascii="Times New Roman" w:hAnsi="Times New Roman" w:eastAsia="Times New Roman" w:cs="Times New Roman"/>
          <w:i/>
          <w:iCs/>
          <w:sz w:val="18"/>
          <w:szCs w:val="18"/>
        </w:rPr>
        <w:t>. PI Controller Design</w:t>
      </w:r>
    </w:p>
    <w:p w14:paraId="22968901">
      <w:pPr>
        <w:spacing w:before="0" w:after="80" w:line="230" w:lineRule="auto"/>
        <w:ind w:firstLine="200"/>
        <w:jc w:val="both"/>
      </w:pPr>
      <w:r>
        <w:rPr>
          <w:rFonts w:ascii="Times New Roman" w:hAnsi="Times New Roman" w:eastAsia="Times New Roman" w:cs="Times New Roman"/>
          <w:b w:val="0"/>
          <w:bCs w:val="0"/>
          <w:i w:val="0"/>
          <w:iCs w:val="0"/>
          <w:sz w:val="18"/>
          <w:szCs w:val="18"/>
        </w:rPr>
        <w:t>The PI controller transfer function is G_c(s) = K_p + K_i/s. The open-loop and closed-loop transfer functions of the controlled system are:</w:t>
      </w:r>
    </w:p>
    <w:p w14:paraId="2B954078">
      <w:pPr>
        <w:spacing w:before="40" w:after="60"/>
        <w:jc w:val="center"/>
      </w:pPr>
      <w:r>
        <w:rPr>
          <w:rFonts w:ascii="Times New Roman" w:hAnsi="Times New Roman" w:eastAsia="Times New Roman" w:cs="Times New Roman"/>
          <w:b w:val="0"/>
          <w:bCs w:val="0"/>
          <w:i/>
          <w:iCs/>
          <w:sz w:val="18"/>
          <w:szCs w:val="18"/>
        </w:rPr>
        <w:t>G_{ol}(s) = G_c(s) · G_{vf}(s),   G_{cl}(s) = G_{ol}(s) / (1 + G_{ol}(s))</w:t>
      </w:r>
    </w:p>
    <w:p w14:paraId="45A497C0">
      <w:pPr>
        <w:spacing w:before="0" w:after="80" w:line="230" w:lineRule="auto"/>
        <w:ind w:firstLine="200"/>
        <w:jc w:val="both"/>
      </w:pPr>
      <w:r>
        <w:rPr>
          <w:rFonts w:ascii="Times New Roman" w:hAnsi="Times New Roman" w:eastAsia="Times New Roman" w:cs="Times New Roman"/>
          <w:b w:val="0"/>
          <w:bCs w:val="0"/>
          <w:i w:val="0"/>
          <w:iCs w:val="0"/>
          <w:sz w:val="18"/>
          <w:szCs w:val="18"/>
        </w:rPr>
        <w:t>For the LLC, the controller was tuned to K_p = 15{,}000 and K_i = 4×10⁶. The proportional term provides immediate response to any voltage deviation, while the integral term eliminates steady-state error by accumulating the frequency correction over time. For the LCC, separate tuning yielded K_p = 14{,}000 and K_i = 3×10⁶, reflecting the different tank dynamics associated with the parallel capacitor C_p. Table II summarises both sets of controller parameters.</w:t>
      </w:r>
    </w:p>
    <w:p w14:paraId="7BF4AFB1">
      <w:pPr>
        <w:spacing w:before="100" w:after="40"/>
        <w:jc w:val="center"/>
      </w:pPr>
      <w:r>
        <w:rPr>
          <w:rFonts w:ascii="Times New Roman" w:hAnsi="Times New Roman" w:eastAsia="Times New Roman" w:cs="Times New Roman"/>
          <w:b/>
          <w:bCs/>
          <w:sz w:val="16"/>
          <w:szCs w:val="16"/>
        </w:rPr>
        <w:t>TABLE II
</w:t>
      </w:r>
      <w:r>
        <w:rPr>
          <w:rFonts w:ascii="Times New Roman" w:hAnsi="Times New Roman" w:eastAsia="Times New Roman" w:cs="Times New Roman"/>
          <w:i/>
          <w:iCs/>
          <w:sz w:val="16"/>
          <w:szCs w:val="16"/>
        </w:rPr>
        <w:t>PI Controller Parameters for LLC and LCC Topologies</w:t>
      </w:r>
    </w:p>
    <w:tbl>
      <w:tblPr>
        <w:tblStyle w:val="13"/>
        <w:tblW w:w="5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tblGrid>
      <w:tr w14:paraId="3D84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D071889">
            <w:pPr>
              <w:spacing w:before="0" w:after="0"/>
              <w:jc w:val="center"/>
            </w:pPr>
            <w:r>
              <w:rPr>
                <w:rFonts w:ascii="Times New Roman" w:hAnsi="Times New Roman" w:eastAsia="Times New Roman" w:cs="Times New Roman"/>
                <w:b/>
                <w:bCs/>
                <w:sz w:val="14"/>
                <w:szCs w:val="14"/>
              </w:rPr>
              <w:t>Parameter</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14C22BF">
            <w:pPr>
              <w:spacing w:before="0" w:after="0"/>
              <w:jc w:val="center"/>
            </w:pPr>
            <w:r>
              <w:rPr>
                <w:rFonts w:ascii="Times New Roman" w:hAnsi="Times New Roman" w:eastAsia="Times New Roman" w:cs="Times New Roman"/>
                <w:b/>
                <w:bCs/>
                <w:sz w:val="14"/>
                <w:szCs w:val="14"/>
              </w:rPr>
              <w:t>LLC Value</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EBC93CD">
            <w:pPr>
              <w:spacing w:before="0" w:after="0"/>
              <w:jc w:val="center"/>
            </w:pPr>
            <w:r>
              <w:rPr>
                <w:rFonts w:ascii="Times New Roman" w:hAnsi="Times New Roman" w:eastAsia="Times New Roman" w:cs="Times New Roman"/>
                <w:b/>
                <w:bCs/>
                <w:sz w:val="14"/>
                <w:szCs w:val="14"/>
              </w:rPr>
              <w:t>LCC Value</w:t>
            </w:r>
          </w:p>
        </w:tc>
      </w:tr>
      <w:tr w14:paraId="5A841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A5A6A0F">
            <w:pPr>
              <w:spacing w:before="0" w:after="0"/>
              <w:jc w:val="center"/>
            </w:pPr>
            <w:r>
              <w:rPr>
                <w:rFonts w:ascii="Times New Roman" w:hAnsi="Times New Roman" w:eastAsia="Times New Roman" w:cs="Times New Roman"/>
                <w:b w:val="0"/>
                <w:bCs w:val="0"/>
                <w:sz w:val="14"/>
                <w:szCs w:val="14"/>
              </w:rPr>
              <w:t>Proportional gain, K_p</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F57C059">
            <w:pPr>
              <w:spacing w:before="0" w:after="0"/>
              <w:jc w:val="center"/>
            </w:pPr>
            <w:r>
              <w:rPr>
                <w:rFonts w:ascii="Times New Roman" w:hAnsi="Times New Roman" w:eastAsia="Times New Roman" w:cs="Times New Roman"/>
                <w:b w:val="0"/>
                <w:bCs w:val="0"/>
                <w:sz w:val="14"/>
                <w:szCs w:val="14"/>
              </w:rPr>
              <w:t>15,000</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590CC53">
            <w:pPr>
              <w:spacing w:before="0" w:after="0"/>
              <w:jc w:val="center"/>
            </w:pPr>
            <w:r>
              <w:rPr>
                <w:rFonts w:ascii="Times New Roman" w:hAnsi="Times New Roman" w:eastAsia="Times New Roman" w:cs="Times New Roman"/>
                <w:b w:val="0"/>
                <w:bCs w:val="0"/>
                <w:sz w:val="14"/>
                <w:szCs w:val="14"/>
              </w:rPr>
              <w:t>14,000</w:t>
            </w:r>
          </w:p>
        </w:tc>
      </w:tr>
      <w:tr w14:paraId="25BE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130E00B">
            <w:pPr>
              <w:spacing w:before="0" w:after="0"/>
              <w:jc w:val="center"/>
            </w:pPr>
            <w:r>
              <w:rPr>
                <w:rFonts w:ascii="Times New Roman" w:hAnsi="Times New Roman" w:eastAsia="Times New Roman" w:cs="Times New Roman"/>
                <w:b w:val="0"/>
                <w:bCs w:val="0"/>
                <w:sz w:val="14"/>
                <w:szCs w:val="14"/>
              </w:rPr>
              <w:t>Integral gain, K_i</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A01A1FC">
            <w:pPr>
              <w:spacing w:before="0" w:after="0"/>
              <w:jc w:val="center"/>
            </w:pPr>
            <w:r>
              <w:rPr>
                <w:rFonts w:ascii="Times New Roman" w:hAnsi="Times New Roman" w:eastAsia="Times New Roman" w:cs="Times New Roman"/>
                <w:b w:val="0"/>
                <w:bCs w:val="0"/>
                <w:sz w:val="14"/>
                <w:szCs w:val="14"/>
              </w:rPr>
              <w:t>4 × 10⁶</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938D00D">
            <w:pPr>
              <w:spacing w:before="0" w:after="0"/>
              <w:jc w:val="center"/>
            </w:pPr>
            <w:r>
              <w:rPr>
                <w:rFonts w:ascii="Times New Roman" w:hAnsi="Times New Roman" w:eastAsia="Times New Roman" w:cs="Times New Roman"/>
                <w:b w:val="0"/>
                <w:bCs w:val="0"/>
                <w:sz w:val="14"/>
                <w:szCs w:val="14"/>
              </w:rPr>
              <w:t>3 × 10⁶</w:t>
            </w:r>
          </w:p>
        </w:tc>
      </w:tr>
      <w:tr w14:paraId="635C2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18C5A4A">
            <w:pPr>
              <w:spacing w:before="0" w:after="0"/>
              <w:jc w:val="center"/>
            </w:pPr>
            <w:r>
              <w:rPr>
                <w:rFonts w:ascii="Times New Roman" w:hAnsi="Times New Roman" w:eastAsia="Times New Roman" w:cs="Times New Roman"/>
                <w:b w:val="0"/>
                <w:bCs w:val="0"/>
                <w:sz w:val="14"/>
                <w:szCs w:val="14"/>
              </w:rPr>
              <w:t>Freq. lower limit, f_{s,min}</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A8F59EB">
            <w:pPr>
              <w:spacing w:before="0" w:after="0"/>
              <w:jc w:val="center"/>
            </w:pPr>
            <w:r>
              <w:rPr>
                <w:rFonts w:ascii="Times New Roman" w:hAnsi="Times New Roman" w:eastAsia="Times New Roman" w:cs="Times New Roman"/>
                <w:b w:val="0"/>
                <w:bCs w:val="0"/>
                <w:sz w:val="14"/>
                <w:szCs w:val="14"/>
              </w:rPr>
              <w:t>100 kHz</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7AC2ADD">
            <w:pPr>
              <w:spacing w:before="0" w:after="0"/>
              <w:jc w:val="center"/>
            </w:pPr>
            <w:r>
              <w:rPr>
                <w:rFonts w:ascii="Times New Roman" w:hAnsi="Times New Roman" w:eastAsia="Times New Roman" w:cs="Times New Roman"/>
                <w:b w:val="0"/>
                <w:bCs w:val="0"/>
                <w:sz w:val="14"/>
                <w:szCs w:val="14"/>
              </w:rPr>
              <w:t>110 kHz</w:t>
            </w:r>
          </w:p>
        </w:tc>
      </w:tr>
      <w:tr w14:paraId="13A2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72E362E">
            <w:pPr>
              <w:spacing w:before="0" w:after="0"/>
              <w:jc w:val="center"/>
            </w:pPr>
            <w:r>
              <w:rPr>
                <w:rFonts w:ascii="Times New Roman" w:hAnsi="Times New Roman" w:eastAsia="Times New Roman" w:cs="Times New Roman"/>
                <w:b w:val="0"/>
                <w:bCs w:val="0"/>
                <w:sz w:val="14"/>
                <w:szCs w:val="14"/>
              </w:rPr>
              <w:t>Freq. upper limit, f_{s,max}</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ECED9CD">
            <w:pPr>
              <w:spacing w:before="0" w:after="0"/>
              <w:jc w:val="center"/>
            </w:pPr>
            <w:r>
              <w:rPr>
                <w:rFonts w:ascii="Times New Roman" w:hAnsi="Times New Roman" w:eastAsia="Times New Roman" w:cs="Times New Roman"/>
                <w:b w:val="0"/>
                <w:bCs w:val="0"/>
                <w:sz w:val="14"/>
                <w:szCs w:val="14"/>
              </w:rPr>
              <w:t>220 kHz</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B464196">
            <w:pPr>
              <w:spacing w:before="0" w:after="0"/>
              <w:jc w:val="center"/>
            </w:pPr>
            <w:r>
              <w:rPr>
                <w:rFonts w:ascii="Times New Roman" w:hAnsi="Times New Roman" w:eastAsia="Times New Roman" w:cs="Times New Roman"/>
                <w:b w:val="0"/>
                <w:bCs w:val="0"/>
                <w:sz w:val="14"/>
                <w:szCs w:val="14"/>
              </w:rPr>
              <w:t>220 kHz</w:t>
            </w:r>
          </w:p>
        </w:tc>
      </w:tr>
      <w:tr w14:paraId="522B9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A924BF6">
            <w:pPr>
              <w:spacing w:before="0" w:after="0"/>
              <w:jc w:val="center"/>
            </w:pPr>
            <w:r>
              <w:rPr>
                <w:rFonts w:ascii="Times New Roman" w:hAnsi="Times New Roman" w:eastAsia="Times New Roman" w:cs="Times New Roman"/>
                <w:b w:val="0"/>
                <w:bCs w:val="0"/>
                <w:sz w:val="14"/>
                <w:szCs w:val="14"/>
              </w:rPr>
              <w:t>Dead time</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60A51F0">
            <w:pPr>
              <w:spacing w:before="0" w:after="0"/>
              <w:jc w:val="center"/>
            </w:pPr>
            <w:r>
              <w:rPr>
                <w:rFonts w:ascii="Times New Roman" w:hAnsi="Times New Roman" w:eastAsia="Times New Roman" w:cs="Times New Roman"/>
                <w:b w:val="0"/>
                <w:bCs w:val="0"/>
                <w:sz w:val="14"/>
                <w:szCs w:val="14"/>
              </w:rPr>
              <w:t>400 ns</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BF6664C">
            <w:pPr>
              <w:spacing w:before="0" w:after="0"/>
              <w:jc w:val="center"/>
            </w:pPr>
            <w:r>
              <w:rPr>
                <w:rFonts w:ascii="Times New Roman" w:hAnsi="Times New Roman" w:eastAsia="Times New Roman" w:cs="Times New Roman"/>
                <w:b w:val="0"/>
                <w:bCs w:val="0"/>
                <w:sz w:val="14"/>
                <w:szCs w:val="14"/>
              </w:rPr>
              <w:t>400 ns</w:t>
            </w:r>
          </w:p>
        </w:tc>
      </w:tr>
      <w:tr w14:paraId="143A9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7065A58">
            <w:pPr>
              <w:spacing w:before="0" w:after="0"/>
              <w:jc w:val="center"/>
            </w:pPr>
            <w:r>
              <w:rPr>
                <w:rFonts w:ascii="Times New Roman" w:hAnsi="Times New Roman" w:eastAsia="Times New Roman" w:cs="Times New Roman"/>
                <w:b w:val="0"/>
                <w:bCs w:val="0"/>
                <w:sz w:val="14"/>
                <w:szCs w:val="14"/>
              </w:rPr>
              <w:t>LPF time constant</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562E141">
            <w:pPr>
              <w:spacing w:before="0" w:after="0"/>
              <w:jc w:val="center"/>
            </w:pPr>
            <w:r>
              <w:rPr>
                <w:rFonts w:ascii="Times New Roman" w:hAnsi="Times New Roman" w:eastAsia="Times New Roman" w:cs="Times New Roman"/>
                <w:b w:val="0"/>
                <w:bCs w:val="0"/>
                <w:sz w:val="14"/>
                <w:szCs w:val="14"/>
              </w:rPr>
              <w:t>0.001 s</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D6C543D">
            <w:pPr>
              <w:spacing w:before="0" w:after="0"/>
              <w:jc w:val="center"/>
            </w:pPr>
            <w:r>
              <w:rPr>
                <w:rFonts w:ascii="Times New Roman" w:hAnsi="Times New Roman" w:eastAsia="Times New Roman" w:cs="Times New Roman"/>
                <w:b w:val="0"/>
                <w:bCs w:val="0"/>
                <w:sz w:val="14"/>
                <w:szCs w:val="14"/>
              </w:rPr>
              <w:t>0.001 s</w:t>
            </w:r>
          </w:p>
        </w:tc>
      </w:tr>
      <w:tr w14:paraId="49445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5E9A9DD">
            <w:pPr>
              <w:spacing w:before="0" w:after="0"/>
              <w:jc w:val="center"/>
            </w:pPr>
            <w:r>
              <w:rPr>
                <w:rFonts w:ascii="Times New Roman" w:hAnsi="Times New Roman" w:eastAsia="Times New Roman" w:cs="Times New Roman"/>
                <w:b w:val="0"/>
                <w:bCs w:val="0"/>
                <w:sz w:val="14"/>
                <w:szCs w:val="14"/>
              </w:rPr>
              <w:t>Reference voltage, V_{ref}</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C98CF4E">
            <w:pPr>
              <w:spacing w:before="0" w:after="0"/>
              <w:jc w:val="center"/>
            </w:pPr>
            <w:r>
              <w:rPr>
                <w:rFonts w:ascii="Times New Roman" w:hAnsi="Times New Roman" w:eastAsia="Times New Roman" w:cs="Times New Roman"/>
                <w:b w:val="0"/>
                <w:bCs w:val="0"/>
                <w:sz w:val="14"/>
                <w:szCs w:val="14"/>
              </w:rPr>
              <w:t>51 V</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663AAA2">
            <w:pPr>
              <w:spacing w:before="0" w:after="0"/>
              <w:jc w:val="center"/>
            </w:pPr>
            <w:r>
              <w:rPr>
                <w:rFonts w:ascii="Times New Roman" w:hAnsi="Times New Roman" w:eastAsia="Times New Roman" w:cs="Times New Roman"/>
                <w:b w:val="0"/>
                <w:bCs w:val="0"/>
                <w:sz w:val="14"/>
                <w:szCs w:val="14"/>
              </w:rPr>
              <w:t>51 V</w:t>
            </w:r>
          </w:p>
        </w:tc>
      </w:tr>
      <w:tr w14:paraId="6FC6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BE6EEA1">
            <w:pPr>
              <w:spacing w:before="0" w:after="0"/>
              <w:jc w:val="center"/>
            </w:pPr>
            <w:r>
              <w:rPr>
                <w:rFonts w:ascii="Times New Roman" w:hAnsi="Times New Roman" w:eastAsia="Times New Roman" w:cs="Times New Roman"/>
                <w:b w:val="0"/>
                <w:bCs w:val="0"/>
                <w:sz w:val="14"/>
                <w:szCs w:val="14"/>
              </w:rPr>
              <w:t>Closed-loop output voltage</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0442DA3">
            <w:pPr>
              <w:spacing w:before="0" w:after="0"/>
              <w:jc w:val="center"/>
            </w:pPr>
            <w:r>
              <w:rPr>
                <w:rFonts w:ascii="Times New Roman" w:hAnsi="Times New Roman" w:eastAsia="Times New Roman" w:cs="Times New Roman"/>
                <w:b w:val="0"/>
                <w:bCs w:val="0"/>
                <w:sz w:val="14"/>
                <w:szCs w:val="14"/>
              </w:rPr>
              <w:t>51.0 V</w:t>
            </w:r>
          </w:p>
        </w:tc>
        <w:tc>
          <w:tcPr>
            <w:tcW w:w="15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F28E7C5">
            <w:pPr>
              <w:spacing w:before="0" w:after="0"/>
              <w:jc w:val="center"/>
            </w:pPr>
            <w:r>
              <w:rPr>
                <w:rFonts w:ascii="Times New Roman" w:hAnsi="Times New Roman" w:eastAsia="Times New Roman" w:cs="Times New Roman"/>
                <w:b w:val="0"/>
                <w:bCs w:val="0"/>
                <w:sz w:val="14"/>
                <w:szCs w:val="14"/>
              </w:rPr>
              <w:t>≈51.4 V</w:t>
            </w:r>
          </w:p>
        </w:tc>
      </w:tr>
    </w:tbl>
    <w:p w14:paraId="7E77A08D">
      <w:pPr>
        <w:spacing w:before="100" w:after="40"/>
        <w:jc w:val="left"/>
      </w:pPr>
      <w:r>
        <w:rPr>
          <w:rFonts w:cs="Times New Roman"/>
          <w:i/>
          <w:iCs/>
          <w:sz w:val="18"/>
          <w:szCs w:val="18"/>
          <w:lang w:val="en"/>
          <w:woUserID w:val="1"/>
        </w:rPr>
        <w:t>E</w:t>
      </w:r>
      <w:r>
        <w:rPr>
          <w:rFonts w:ascii="Times New Roman" w:hAnsi="Times New Roman" w:eastAsia="Times New Roman" w:cs="Times New Roman"/>
          <w:i/>
          <w:iCs/>
          <w:sz w:val="18"/>
          <w:szCs w:val="18"/>
        </w:rPr>
        <w:t>. Simulink Closed-Loop Implementation</w:t>
      </w:r>
    </w:p>
    <w:p w14:paraId="6E89B684">
      <w:pPr>
        <w:spacing w:before="0" w:after="80" w:line="230" w:lineRule="auto"/>
        <w:ind w:firstLine="200"/>
        <w:jc w:val="both"/>
      </w:pPr>
      <w:r>
        <w:rPr>
          <w:rFonts w:ascii="Times New Roman" w:hAnsi="Times New Roman" w:eastAsia="Times New Roman" w:cs="Times New Roman"/>
          <w:b w:val="0"/>
          <w:bCs w:val="0"/>
          <w:i w:val="0"/>
          <w:iCs w:val="0"/>
          <w:sz w:val="18"/>
          <w:szCs w:val="18"/>
        </w:rPr>
        <w:t>The closed-loop control chain is implemented in MATLAB/Simulink as follows. The output capacitor voltage is measured and passed through a first-order low-pass filter (transfer function 1/(0.001s + 1)) to remove switching-frequency ripple and extract the mean DC component V_{o,filtered}. The error signal e = 51 − V_{o,filtered} is formed and processed by the PI controller. The PI output, interpreted as the switching frequency command f_s (in Hz), is passed through a saturation block enforcing the ZVS-safe frequency limits. The saturated frequency is multiplied by 2π (Gain block) to produce angular frequency ω_s, which is then integrated to generate the continuously growing phase angle θ(t). A Sine block converts θ(t) to a sinusoidal timing signal, and a Comparator (threshold = 0) produces the primary gate square wave. NOT blocks and transport-delay blocks generate the complementary gate signals with dead time for all four bridge switches.</w:t>
      </w:r>
    </w:p>
    <w:p w14:paraId="4F3EEE08">
      <w:pPr>
        <w:spacing w:before="0" w:after="80" w:line="230" w:lineRule="auto"/>
        <w:ind w:firstLine="200"/>
        <w:jc w:val="both"/>
      </w:pPr>
      <w:r>
        <w:rPr>
          <w:rFonts w:ascii="Times New Roman" w:hAnsi="Times New Roman" w:eastAsia="Times New Roman" w:cs="Times New Roman"/>
          <w:b w:val="0"/>
          <w:bCs w:val="0"/>
          <w:i w:val="0"/>
          <w:iCs w:val="0"/>
          <w:sz w:val="18"/>
          <w:szCs w:val="18"/>
        </w:rPr>
        <w:t>This architecture differs fundamentally from SPWM inverter control, which modulates duty cycle at fixed frequency using a sine-triangle comparison. Here the duty cycle is fixed at 50% and frequency is the sole control variable—a distinction critical to understanding why LLC converters cannot simply use a standard PWM controller.</w:t>
      </w:r>
    </w:p>
    <w:p w14:paraId="511A9F0C">
      <w:pPr>
        <w:spacing w:before="0" w:after="80" w:line="230" w:lineRule="auto"/>
        <w:ind w:firstLine="200"/>
        <w:jc w:val="both"/>
      </w:pPr>
      <w:r>
        <w:rPr>
          <w:rFonts w:ascii="Times New Roman" w:hAnsi="Times New Roman" w:eastAsia="Times New Roman" w:cs="Times New Roman"/>
          <w:b w:val="0"/>
          <w:bCs w:val="0"/>
          <w:i w:val="0"/>
          <w:iCs w:val="0"/>
          <w:sz w:val="18"/>
          <w:szCs w:val="18"/>
        </w:rPr>
        <w:t>The control law direction is: if V_out rises above 51 V, the error becomes negative, the PI output decreases, f_s increases, the converter gain K decreases, and V_out is pulled back to reference; conversely, if V_out falls below 51 V, the error is positive, f_s decreases (bounded by f_{s,min}), K increases, and V_out rises to reference. At f_{s,min} = 100 kHz the converter is at or just above f_{r1} and gain is maximised; at f_{s,max} = 220 kHz the gain is well below unity.</w:t>
      </w:r>
    </w:p>
    <w:p w14:paraId="0A58B3E8">
      <w:pPr>
        <w:pBdr>
          <w:top w:val="single" w:color="999999" w:sz="4" w:space="0"/>
          <w:left w:val="single" w:color="999999" w:sz="4" w:space="0"/>
          <w:bottom w:val="single" w:color="999999" w:sz="4" w:space="0"/>
          <w:right w:val="single" w:color="999999" w:sz="4" w:space="0"/>
        </w:pBdr>
        <w:spacing w:before="100" w:after="0"/>
        <w:jc w:val="center"/>
        <w:rPr>
          <w:rFonts w:hint="default"/>
          <w:highlight w:val="lightGray"/>
          <w:lang w:val="en"/>
          <w:woUserID w:val="1"/>
        </w:rPr>
      </w:pPr>
      <w:bookmarkStart w:id="0" w:name="_GoBack"/>
      <w:r>
        <w:rPr>
          <w:rFonts w:hint="default"/>
          <w:lang w:val="en"/>
        </w:rPr>
        <w:drawing>
          <wp:inline distT="0" distB="0" distL="114300" distR="114300">
            <wp:extent cx="3194050" cy="1174750"/>
            <wp:effectExtent l="0" t="0" r="635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3194050" cy="1174750"/>
                    </a:xfrm>
                    <a:prstGeom prst="rect">
                      <a:avLst/>
                    </a:prstGeom>
                  </pic:spPr>
                </pic:pic>
              </a:graphicData>
            </a:graphic>
          </wp:inline>
        </w:drawing>
      </w:r>
      <w:bookmarkEnd w:id="0"/>
      <w:r>
        <w:rPr>
          <w:rFonts w:hint="default"/>
          <w:lang w:val="en"/>
          <w:woUserID w:val="1"/>
        </w:rPr>
        <w:t>(a)</w:t>
      </w:r>
    </w:p>
    <w:p w14:paraId="7110EF43">
      <w:pPr>
        <w:shd w:val="clear" w:fill="F2F2F2"/>
        <w:spacing w:before="40" w:after="0"/>
        <w:jc w:val="center"/>
        <w:rPr>
          <w:rFonts w:ascii="Times New Roman" w:hAnsi="Times New Roman" w:eastAsia="Times New Roman" w:cs="Times New Roman"/>
          <w:i/>
          <w:iCs/>
          <w:color w:val="999999"/>
          <w:sz w:val="16"/>
          <w:szCs w:val="16"/>
        </w:rPr>
      </w:pPr>
      <w:r>
        <w:rPr>
          <w:rFonts w:ascii="Times New Roman" w:hAnsi="Times New Roman" w:eastAsia="Times New Roman" w:cs="Times New Roman"/>
          <w:i/>
          <w:iCs/>
          <w:color w:val="999999"/>
          <w:sz w:val="16"/>
          <w:szCs w:val="16"/>
        </w:rPr>
        <w:drawing>
          <wp:inline distT="0" distB="0" distL="114300" distR="114300">
            <wp:extent cx="3197860" cy="14643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3197860" cy="1464310"/>
                    </a:xfrm>
                    <a:prstGeom prst="rect">
                      <a:avLst/>
                    </a:prstGeom>
                  </pic:spPr>
                </pic:pic>
              </a:graphicData>
            </a:graphic>
          </wp:inline>
        </w:drawing>
      </w:r>
    </w:p>
    <w:p w14:paraId="7306405E">
      <w:pPr>
        <w:shd w:val="clear" w:fill="F2F2F2"/>
        <w:spacing w:before="40" w:after="0"/>
        <w:jc w:val="center"/>
        <w:rPr>
          <w:rFonts w:hint="default" w:ascii="Times New Roman" w:hAnsi="Times New Roman" w:eastAsia="Times New Roman" w:cs="Times New Roman"/>
          <w:i w:val="0"/>
          <w:iCs w:val="0"/>
          <w:color w:val="999999"/>
          <w:sz w:val="16"/>
          <w:szCs w:val="16"/>
          <w:lang w:val="en"/>
          <w:woUserID w:val="1"/>
        </w:rPr>
      </w:pPr>
      <w:r>
        <w:rPr>
          <w:rFonts w:hint="default" w:cs="Times New Roman"/>
          <w:i w:val="0"/>
          <w:iCs w:val="0"/>
          <w:color w:val="999999"/>
          <w:sz w:val="16"/>
          <w:szCs w:val="16"/>
          <w:lang w:val="en"/>
          <w:woUserID w:val="1"/>
        </w:rPr>
        <w:t>(b)</w:t>
      </w:r>
    </w:p>
    <w:p w14:paraId="74BFA9AC">
      <w:pPr>
        <w:shd w:val="clear" w:fill="F2F2F2"/>
        <w:spacing w:before="40" w:after="0"/>
        <w:jc w:val="center"/>
        <w:rPr>
          <w:rFonts w:ascii="Times New Roman" w:hAnsi="Times New Roman" w:eastAsia="Times New Roman" w:cs="Times New Roman"/>
          <w:i/>
          <w:iCs/>
          <w:color w:val="999999"/>
          <w:sz w:val="16"/>
          <w:szCs w:val="16"/>
        </w:rPr>
      </w:pPr>
      <w:r>
        <w:rPr>
          <w:rFonts w:ascii="Times New Roman" w:hAnsi="Times New Roman" w:eastAsia="Times New Roman" w:cs="Times New Roman"/>
          <w:i/>
          <w:iCs/>
          <w:color w:val="999999"/>
          <w:sz w:val="16"/>
          <w:szCs w:val="16"/>
        </w:rPr>
        <w:drawing>
          <wp:inline distT="0" distB="0" distL="114300" distR="114300">
            <wp:extent cx="3193415" cy="1430655"/>
            <wp:effectExtent l="0" t="0" r="6985" b="171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3193415" cy="1430655"/>
                    </a:xfrm>
                    <a:prstGeom prst="rect">
                      <a:avLst/>
                    </a:prstGeom>
                  </pic:spPr>
                </pic:pic>
              </a:graphicData>
            </a:graphic>
          </wp:inline>
        </w:drawing>
      </w:r>
    </w:p>
    <w:p w14:paraId="304551F2">
      <w:pPr>
        <w:shd w:val="clear" w:fill="F2F2F2"/>
        <w:spacing w:before="40" w:after="0"/>
        <w:jc w:val="center"/>
        <w:rPr>
          <w:rFonts w:hint="default" w:ascii="Times New Roman" w:hAnsi="Times New Roman" w:eastAsia="Times New Roman" w:cs="Times New Roman"/>
          <w:i/>
          <w:iCs/>
          <w:color w:val="999999"/>
          <w:sz w:val="16"/>
          <w:szCs w:val="16"/>
          <w:lang w:val="en"/>
          <w:woUserID w:val="1"/>
        </w:rPr>
      </w:pPr>
      <w:r>
        <w:rPr>
          <w:rFonts w:hint="default" w:cs="Times New Roman"/>
          <w:i/>
          <w:iCs/>
          <w:color w:val="999999"/>
          <w:sz w:val="16"/>
          <w:szCs w:val="16"/>
          <w:lang w:val="en"/>
          <w:woUserID w:val="1"/>
        </w:rPr>
        <w:t>(c)</w:t>
      </w:r>
    </w:p>
    <w:p w14:paraId="4716C729">
      <w:pPr>
        <w:spacing w:before="40" w:after="100"/>
        <w:jc w:val="center"/>
        <w:rPr>
          <w:rFonts w:hint="default"/>
          <w:lang w:val="en"/>
          <w:woUserID w:val="1"/>
        </w:rPr>
      </w:pPr>
      <w:r>
        <w:rPr>
          <w:rFonts w:ascii="Times New Roman" w:hAnsi="Times New Roman" w:eastAsia="Times New Roman" w:cs="Times New Roman"/>
          <w:b/>
          <w:bCs/>
          <w:sz w:val="16"/>
          <w:szCs w:val="16"/>
        </w:rPr>
        <w:t xml:space="preserve">Fig. 5.  </w:t>
      </w:r>
      <w:r>
        <w:rPr>
          <w:rFonts w:ascii="Times New Roman" w:hAnsi="Times New Roman" w:eastAsia="Times New Roman" w:cs="Times New Roman"/>
          <w:i/>
          <w:iCs/>
          <w:sz w:val="16"/>
          <w:szCs w:val="16"/>
        </w:rPr>
        <w:t>(a) Simulink closed-loop block diagram: sensor → LPF → sum → PI → saturation → 2π gain → integrator → sine → comparator → gate logic. (b)</w:t>
      </w:r>
      <w:r>
        <w:rPr>
          <w:rFonts w:cs="Times New Roman"/>
          <w:i/>
          <w:iCs/>
          <w:sz w:val="16"/>
          <w:szCs w:val="16"/>
          <w:lang w:val="en"/>
          <w:woUserID w:val="1"/>
        </w:rPr>
        <w:t>,(c)</w:t>
      </w:r>
      <w:r>
        <w:rPr>
          <w:rFonts w:ascii="Times New Roman" w:hAnsi="Times New Roman" w:eastAsia="Times New Roman" w:cs="Times New Roman"/>
          <w:i/>
          <w:iCs/>
          <w:sz w:val="16"/>
          <w:szCs w:val="16"/>
        </w:rPr>
        <w:t>Output voltage transients for V_ref = 40 V, 51 V, and 60 V</w:t>
      </w:r>
      <w:r>
        <w:rPr>
          <w:rFonts w:cs="Times New Roman"/>
          <w:i/>
          <w:iCs/>
          <w:sz w:val="16"/>
          <w:szCs w:val="16"/>
          <w:lang w:val="en"/>
          <w:woUserID w:val="1"/>
        </w:rPr>
        <w:t xml:space="preserve"> for llc,lcc respectivelyh </w:t>
      </w:r>
    </w:p>
    <w:p w14:paraId="061E42D9">
      <w:pPr>
        <w:spacing w:before="100" w:after="40"/>
        <w:jc w:val="left"/>
      </w:pPr>
      <w:r>
        <w:rPr>
          <w:rFonts w:cs="Times New Roman"/>
          <w:i/>
          <w:iCs/>
          <w:sz w:val="18"/>
          <w:szCs w:val="18"/>
          <w:lang w:val="en"/>
          <w:woUserID w:val="1"/>
        </w:rPr>
        <w:t>F</w:t>
      </w:r>
      <w:r>
        <w:rPr>
          <w:rFonts w:ascii="Times New Roman" w:hAnsi="Times New Roman" w:eastAsia="Times New Roman" w:cs="Times New Roman"/>
          <w:i/>
          <w:iCs/>
          <w:sz w:val="18"/>
          <w:szCs w:val="18"/>
        </w:rPr>
        <w:t>. Closed-Loop Transient Performance</w:t>
      </w:r>
    </w:p>
    <w:p w14:paraId="09E0D738">
      <w:pPr>
        <w:spacing w:before="0" w:after="80" w:line="230" w:lineRule="auto"/>
        <w:ind w:firstLine="200"/>
        <w:jc w:val="both"/>
      </w:pPr>
      <w:r>
        <w:rPr>
          <w:rFonts w:ascii="Times New Roman" w:hAnsi="Times New Roman" w:eastAsia="Times New Roman" w:cs="Times New Roman"/>
          <w:b w:val="0"/>
          <w:bCs w:val="0"/>
          <w:i w:val="0"/>
          <w:iCs w:val="0"/>
          <w:sz w:val="18"/>
          <w:szCs w:val="18"/>
        </w:rPr>
        <w:t>The closed-loop LLC controller was validated against three reference setpoints. At V_ref = 51 V (rated), the output settles within approximately 8 ms following an initial overshoot of roughly 83 V caused by resonant-tank charging. At V_ref = 60 V (above rated), the controller reduces f_s toward f_{r1} to raise gain, settling within approximately 12 ms. At V_ref = 40 V (below rated), the controller raises f_s beyond 128 kHz to reduce gain, producing faster, better-damped convergence within approximately 10 ms owing to the increased damping at higher frequency. Across all three cases, f_s ≥ f_{r1} is maintained, preserving ZVS throughout all transients and confirming stable regulation over a ±22% setpoint range. The LCC closed-loop achieves a steady-state output of approximately 51.4 V with K_p = 14{,}000 and K_i = 3×10⁶ applied to the same VCO architecture.</w:t>
      </w:r>
    </w:p>
    <w:p w14:paraId="4E6656A1">
      <w:pPr>
        <w:spacing w:before="160" w:after="80"/>
        <w:jc w:val="center"/>
      </w:pPr>
      <w:r>
        <w:rPr>
          <w:rFonts w:ascii="Times New Roman" w:hAnsi="Times New Roman" w:eastAsia="Times New Roman" w:cs="Times New Roman"/>
          <w:b/>
          <w:bCs/>
          <w:sz w:val="18"/>
          <w:szCs w:val="18"/>
        </w:rPr>
        <w:t>VI. EFFICIENCY ANALYSIS AND COMPARATIVE STUDY</w:t>
      </w:r>
    </w:p>
    <w:p w14:paraId="0CD35C51">
      <w:pPr>
        <w:spacing w:before="100" w:after="40"/>
        <w:jc w:val="left"/>
      </w:pPr>
      <w:r>
        <w:rPr>
          <w:rFonts w:ascii="Times New Roman" w:hAnsi="Times New Roman" w:eastAsia="Times New Roman" w:cs="Times New Roman"/>
          <w:i/>
          <w:iCs/>
          <w:sz w:val="18"/>
          <w:szCs w:val="18"/>
        </w:rPr>
        <w:t>A. Fixed-Frequency Efficiency Collapse at Light Load</w:t>
      </w:r>
    </w:p>
    <w:p w14:paraId="7B388E5F">
      <w:pPr>
        <w:spacing w:before="0" w:after="80" w:line="230" w:lineRule="auto"/>
        <w:ind w:firstLine="200"/>
        <w:jc w:val="both"/>
      </w:pPr>
      <w:r>
        <w:rPr>
          <w:rFonts w:ascii="Times New Roman" w:hAnsi="Times New Roman" w:eastAsia="Times New Roman" w:cs="Times New Roman"/>
          <w:b w:val="0"/>
          <w:bCs w:val="0"/>
          <w:i w:val="0"/>
          <w:iCs w:val="0"/>
          <w:sz w:val="18"/>
          <w:szCs w:val="18"/>
        </w:rPr>
        <w:t>A key finding from open-loop Simulink testing—which directly motivated the closed-loop design—was the severe efficiency degradation of the LLC under a fixed switching frequency as the load changed. At the heavy-load condition (R = 0.68 Ω), the operating point naturally falls near or above resonance, and the open-loop LLC achieved approximately 87% efficiency. At the light-load condition (R = 2.68 Ω), the fixed frequency no longer corresponded to the optimal operating point: the converter effectively shifted into a capacitive-mode operating region, reactive power became negative, ZVS was lost, and efficiency collapsed to approximately 44%.</w:t>
      </w:r>
    </w:p>
    <w:p w14:paraId="229C8E80">
      <w:pPr>
        <w:spacing w:before="0" w:after="80" w:line="230" w:lineRule="auto"/>
        <w:ind w:firstLine="200"/>
        <w:jc w:val="both"/>
      </w:pPr>
      <w:r>
        <w:rPr>
          <w:rFonts w:ascii="Times New Roman" w:hAnsi="Times New Roman" w:eastAsia="Times New Roman" w:cs="Times New Roman"/>
          <w:b w:val="0"/>
          <w:bCs w:val="0"/>
          <w:i w:val="0"/>
          <w:iCs w:val="0"/>
          <w:sz w:val="18"/>
          <w:szCs w:val="18"/>
        </w:rPr>
        <w:t>The root cause was identified as operating below the resonant frequency f_r ≈ 80 kHz (for the initial Simulink prototype with L_r = 40 μH, C_r = 100 nF) with a fixed f_s that appeared correct at heavy load but did not account for the shift in the effective load-dependent resonant behaviour at light load. A manual frequency sweep (80, 90, 100, 110 kHz) confirmed that efficiency and reactive power sign both improved monotonically with increasing frequency, validating the theoretical prediction that the converter must operate in the inductive region (f_s ≥ f_r) at all loads. This finding conclusively established that fixed-frequency control is insufficient for variable-load DC microgrid applications and that closed-loop frequency modulation is essential.</w:t>
      </w:r>
    </w:p>
    <w:p w14:paraId="024C1DEC">
      <w:pPr>
        <w:spacing w:before="100" w:after="40"/>
        <w:jc w:val="left"/>
      </w:pPr>
      <w:r>
        <w:rPr>
          <w:rFonts w:ascii="Times New Roman" w:hAnsi="Times New Roman" w:eastAsia="Times New Roman" w:cs="Times New Roman"/>
          <w:i/>
          <w:iCs/>
          <w:sz w:val="18"/>
          <w:szCs w:val="18"/>
        </w:rPr>
        <w:t>B. Loss Model</w:t>
      </w:r>
    </w:p>
    <w:p w14:paraId="0C2EA760">
      <w:pPr>
        <w:spacing w:before="0" w:after="80" w:line="230" w:lineRule="auto"/>
        <w:ind w:firstLine="200"/>
        <w:jc w:val="both"/>
      </w:pPr>
      <w:r>
        <w:rPr>
          <w:rFonts w:ascii="Times New Roman" w:hAnsi="Times New Roman" w:eastAsia="Times New Roman" w:cs="Times New Roman"/>
          <w:b w:val="0"/>
          <w:bCs w:val="0"/>
          <w:i w:val="0"/>
          <w:iCs w:val="0"/>
          <w:sz w:val="18"/>
          <w:szCs w:val="18"/>
        </w:rPr>
        <w:t>Four loss mechanisms are modelled: (1) MOSFET conduction loss P_{cond} = I²_{rms} × R_{DS(on)}, with R_{DS(on)} = 80 mΩ for the SiC device; (2) turn-off switching loss P_{sw} = ½V_{ds}I_c t_{off}f_s (ZVS eliminates turn-on loss); (3) resonant-inductor and transformer copper loss P_{Cu} = I²_{rms} × R_{ESR}; and (4) secondary diode rectifier loss P_{diode} = V_f I_{avg} for all four diodes, with V_f = 0.6 V. Efficiency is computed as η = P_{out}/(P_{out} + P_{loss}) × 100%.</w:t>
      </w:r>
    </w:p>
    <w:p w14:paraId="447FD5C4">
      <w:pPr>
        <w:spacing w:before="100" w:after="40"/>
        <w:jc w:val="left"/>
      </w:pPr>
      <w:r>
        <w:rPr>
          <w:rFonts w:ascii="Times New Roman" w:hAnsi="Times New Roman" w:eastAsia="Times New Roman" w:cs="Times New Roman"/>
          <w:i/>
          <w:iCs/>
          <w:sz w:val="18"/>
          <w:szCs w:val="18"/>
        </w:rPr>
        <w:t>C. SRC and PRC Efficiency</w:t>
      </w:r>
    </w:p>
    <w:p w14:paraId="37D59BBA">
      <w:pPr>
        <w:spacing w:before="0" w:after="80" w:line="230" w:lineRule="auto"/>
        <w:ind w:firstLine="200"/>
        <w:jc w:val="both"/>
      </w:pPr>
      <w:r>
        <w:rPr>
          <w:rFonts w:ascii="Times New Roman" w:hAnsi="Times New Roman" w:eastAsia="Times New Roman" w:cs="Times New Roman"/>
          <w:b w:val="0"/>
          <w:bCs w:val="0"/>
          <w:i w:val="0"/>
          <w:iCs w:val="0"/>
          <w:sz w:val="18"/>
          <w:szCs w:val="18"/>
        </w:rPr>
        <w:t>Simulink-instrumented input/output power measurement gives the SRC an efficiency of 89.83% (P_{in} = 4649 W, P_{out} = 4176 W). The SRC maintains ZVS for all f_s &gt; f_r, with efficiency peaking near 89.97% at f_s = 15.8 kHz and declining gently at higher frequencies. The PRC peaks at 87.80% at f_s = 10.3 kHz (u ≈ 0.915) but ZVS operation only begins at 10.6 kHz, by which point efficiency has already fallen to 87.35%. Table III documents the frequency-dependent behaviour of the PRC.</w:t>
      </w:r>
    </w:p>
    <w:p w14:paraId="2F947D85">
      <w:pPr>
        <w:spacing w:before="100" w:after="40"/>
        <w:jc w:val="center"/>
      </w:pPr>
      <w:r>
        <w:rPr>
          <w:rFonts w:ascii="Times New Roman" w:hAnsi="Times New Roman" w:eastAsia="Times New Roman" w:cs="Times New Roman"/>
          <w:b/>
          <w:bCs/>
          <w:sz w:val="16"/>
          <w:szCs w:val="16"/>
        </w:rPr>
        <w:t>TABLE III
</w:t>
      </w:r>
      <w:r>
        <w:rPr>
          <w:rFonts w:ascii="Times New Roman" w:hAnsi="Times New Roman" w:eastAsia="Times New Roman" w:cs="Times New Roman"/>
          <w:i/>
          <w:iCs/>
          <w:sz w:val="16"/>
          <w:szCs w:val="16"/>
        </w:rPr>
        <w:t>PRC Efficiency and ZVS Status vs. Switching Frequency</w:t>
      </w:r>
    </w:p>
    <w:tbl>
      <w:tblPr>
        <w:tblStyle w:val="13"/>
        <w:tblW w:w="4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100"/>
        <w:gridCol w:w="2100"/>
      </w:tblGrid>
      <w:tr w14:paraId="1310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C44A225">
            <w:pPr>
              <w:spacing w:before="0" w:after="0"/>
              <w:jc w:val="center"/>
            </w:pPr>
            <w:r>
              <w:rPr>
                <w:rFonts w:ascii="Times New Roman" w:hAnsi="Times New Roman" w:eastAsia="Times New Roman" w:cs="Times New Roman"/>
                <w:b/>
                <w:bCs/>
                <w:sz w:val="14"/>
                <w:szCs w:val="14"/>
              </w:rPr>
              <w:t>f_s (kHz)</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7714330">
            <w:pPr>
              <w:spacing w:before="0" w:after="0"/>
              <w:jc w:val="center"/>
            </w:pPr>
            <w:r>
              <w:rPr>
                <w:rFonts w:ascii="Times New Roman" w:hAnsi="Times New Roman" w:eastAsia="Times New Roman" w:cs="Times New Roman"/>
                <w:b/>
                <w:bCs/>
                <w:sz w:val="14"/>
                <w:szCs w:val="14"/>
              </w:rPr>
              <w:t>η (%)</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4A0BA6F">
            <w:pPr>
              <w:spacing w:before="0" w:after="0"/>
              <w:jc w:val="center"/>
            </w:pPr>
            <w:r>
              <w:rPr>
                <w:rFonts w:ascii="Times New Roman" w:hAnsi="Times New Roman" w:eastAsia="Times New Roman" w:cs="Times New Roman"/>
                <w:b/>
                <w:bCs/>
                <w:sz w:val="14"/>
                <w:szCs w:val="14"/>
              </w:rPr>
              <w:t>ZVS Status</w:t>
            </w:r>
          </w:p>
        </w:tc>
      </w:tr>
      <w:tr w14:paraId="4EE4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201B9D5">
            <w:pPr>
              <w:spacing w:before="0" w:after="0"/>
              <w:jc w:val="center"/>
            </w:pPr>
            <w:r>
              <w:rPr>
                <w:rFonts w:ascii="Times New Roman" w:hAnsi="Times New Roman" w:eastAsia="Times New Roman" w:cs="Times New Roman"/>
                <w:b w:val="0"/>
                <w:bCs w:val="0"/>
                <w:sz w:val="14"/>
                <w:szCs w:val="14"/>
              </w:rPr>
              <w:t>9.0</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9DF3EBF">
            <w:pPr>
              <w:spacing w:before="0" w:after="0"/>
              <w:jc w:val="center"/>
            </w:pPr>
            <w:r>
              <w:rPr>
                <w:rFonts w:ascii="Times New Roman" w:hAnsi="Times New Roman" w:eastAsia="Times New Roman" w:cs="Times New Roman"/>
                <w:b w:val="0"/>
                <w:bCs w:val="0"/>
                <w:sz w:val="14"/>
                <w:szCs w:val="14"/>
              </w:rPr>
              <w:t>63.01</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8274088">
            <w:pPr>
              <w:spacing w:before="0" w:after="0"/>
              <w:jc w:val="center"/>
            </w:pPr>
            <w:r>
              <w:rPr>
                <w:rFonts w:ascii="Times New Roman" w:hAnsi="Times New Roman" w:eastAsia="Times New Roman" w:cs="Times New Roman"/>
                <w:b w:val="0"/>
                <w:bCs w:val="0"/>
                <w:sz w:val="14"/>
                <w:szCs w:val="14"/>
              </w:rPr>
              <w:t>Absent</w:t>
            </w:r>
          </w:p>
        </w:tc>
      </w:tr>
      <w:tr w14:paraId="40B1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0461A4F">
            <w:pPr>
              <w:spacing w:before="0" w:after="0"/>
              <w:jc w:val="center"/>
            </w:pPr>
            <w:r>
              <w:rPr>
                <w:rFonts w:ascii="Times New Roman" w:hAnsi="Times New Roman" w:eastAsia="Times New Roman" w:cs="Times New Roman"/>
                <w:b w:val="0"/>
                <w:bCs w:val="0"/>
                <w:sz w:val="14"/>
                <w:szCs w:val="14"/>
              </w:rPr>
              <w:t>10.0</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35B5276">
            <w:pPr>
              <w:spacing w:before="0" w:after="0"/>
              <w:jc w:val="center"/>
            </w:pPr>
            <w:r>
              <w:rPr>
                <w:rFonts w:ascii="Times New Roman" w:hAnsi="Times New Roman" w:eastAsia="Times New Roman" w:cs="Times New Roman"/>
                <w:b w:val="0"/>
                <w:bCs w:val="0"/>
                <w:sz w:val="14"/>
                <w:szCs w:val="14"/>
              </w:rPr>
              <w:t>84.01</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A490F54">
            <w:pPr>
              <w:spacing w:before="0" w:after="0"/>
              <w:jc w:val="center"/>
            </w:pPr>
            <w:r>
              <w:rPr>
                <w:rFonts w:ascii="Times New Roman" w:hAnsi="Times New Roman" w:eastAsia="Times New Roman" w:cs="Times New Roman"/>
                <w:b w:val="0"/>
                <w:bCs w:val="0"/>
                <w:sz w:val="14"/>
                <w:szCs w:val="14"/>
              </w:rPr>
              <w:t>Absent</w:t>
            </w:r>
          </w:p>
        </w:tc>
      </w:tr>
      <w:tr w14:paraId="3A9A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70AFADE">
            <w:pPr>
              <w:spacing w:before="0" w:after="0"/>
              <w:jc w:val="center"/>
            </w:pPr>
            <w:r>
              <w:rPr>
                <w:rFonts w:ascii="Times New Roman" w:hAnsi="Times New Roman" w:eastAsia="Times New Roman" w:cs="Times New Roman"/>
                <w:b w:val="0"/>
                <w:bCs w:val="0"/>
                <w:sz w:val="14"/>
                <w:szCs w:val="14"/>
              </w:rPr>
              <w:t>10.3</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AE7AB34">
            <w:pPr>
              <w:spacing w:before="0" w:after="0"/>
              <w:jc w:val="center"/>
            </w:pPr>
            <w:r>
              <w:rPr>
                <w:rFonts w:ascii="Times New Roman" w:hAnsi="Times New Roman" w:eastAsia="Times New Roman" w:cs="Times New Roman"/>
                <w:b w:val="0"/>
                <w:bCs w:val="0"/>
                <w:sz w:val="14"/>
                <w:szCs w:val="14"/>
              </w:rPr>
              <w:t>87.80</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88321BA">
            <w:pPr>
              <w:spacing w:before="0" w:after="0"/>
              <w:jc w:val="center"/>
            </w:pPr>
            <w:r>
              <w:rPr>
                <w:rFonts w:ascii="Times New Roman" w:hAnsi="Times New Roman" w:eastAsia="Times New Roman" w:cs="Times New Roman"/>
                <w:b w:val="0"/>
                <w:bCs w:val="0"/>
                <w:sz w:val="14"/>
                <w:szCs w:val="14"/>
              </w:rPr>
              <w:t>Absent (peak η)</w:t>
            </w:r>
          </w:p>
        </w:tc>
      </w:tr>
      <w:tr w14:paraId="4158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2F66461">
            <w:pPr>
              <w:spacing w:before="0" w:after="0"/>
              <w:jc w:val="center"/>
            </w:pPr>
            <w:r>
              <w:rPr>
                <w:rFonts w:ascii="Times New Roman" w:hAnsi="Times New Roman" w:eastAsia="Times New Roman" w:cs="Times New Roman"/>
                <w:b w:val="0"/>
                <w:bCs w:val="0"/>
                <w:sz w:val="14"/>
                <w:szCs w:val="14"/>
              </w:rPr>
              <w:t>10.6</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4D660B6">
            <w:pPr>
              <w:spacing w:before="0" w:after="0"/>
              <w:jc w:val="center"/>
            </w:pPr>
            <w:r>
              <w:rPr>
                <w:rFonts w:ascii="Times New Roman" w:hAnsi="Times New Roman" w:eastAsia="Times New Roman" w:cs="Times New Roman"/>
                <w:b w:val="0"/>
                <w:bCs w:val="0"/>
                <w:sz w:val="14"/>
                <w:szCs w:val="14"/>
              </w:rPr>
              <w:t>87.35</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8D35FCF">
            <w:pPr>
              <w:spacing w:before="0" w:after="0"/>
              <w:jc w:val="center"/>
            </w:pPr>
            <w:r>
              <w:rPr>
                <w:rFonts w:ascii="Times New Roman" w:hAnsi="Times New Roman" w:eastAsia="Times New Roman" w:cs="Times New Roman"/>
                <w:b w:val="0"/>
                <w:bCs w:val="0"/>
                <w:sz w:val="14"/>
                <w:szCs w:val="14"/>
              </w:rPr>
              <w:t>Present (ZVS onset)</w:t>
            </w:r>
          </w:p>
        </w:tc>
      </w:tr>
      <w:tr w14:paraId="1EF27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EF81960">
            <w:pPr>
              <w:spacing w:before="0" w:after="0"/>
              <w:jc w:val="center"/>
            </w:pPr>
            <w:r>
              <w:rPr>
                <w:rFonts w:ascii="Times New Roman" w:hAnsi="Times New Roman" w:eastAsia="Times New Roman" w:cs="Times New Roman"/>
                <w:b w:val="0"/>
                <w:bCs w:val="0"/>
                <w:sz w:val="14"/>
                <w:szCs w:val="14"/>
              </w:rPr>
              <w:t>10.8</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C9EA983">
            <w:pPr>
              <w:spacing w:before="0" w:after="0"/>
              <w:jc w:val="center"/>
            </w:pPr>
            <w:r>
              <w:rPr>
                <w:rFonts w:ascii="Times New Roman" w:hAnsi="Times New Roman" w:eastAsia="Times New Roman" w:cs="Times New Roman"/>
                <w:b w:val="0"/>
                <w:bCs w:val="0"/>
                <w:sz w:val="14"/>
                <w:szCs w:val="14"/>
              </w:rPr>
              <w:t>84.18</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E51AB2B">
            <w:pPr>
              <w:spacing w:before="0" w:after="0"/>
              <w:jc w:val="center"/>
            </w:pPr>
            <w:r>
              <w:rPr>
                <w:rFonts w:ascii="Times New Roman" w:hAnsi="Times New Roman" w:eastAsia="Times New Roman" w:cs="Times New Roman"/>
                <w:b w:val="0"/>
                <w:bCs w:val="0"/>
                <w:sz w:val="14"/>
                <w:szCs w:val="14"/>
              </w:rPr>
              <w:t>Present</w:t>
            </w:r>
          </w:p>
        </w:tc>
      </w:tr>
      <w:tr w14:paraId="77FF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379E018">
            <w:pPr>
              <w:spacing w:before="0" w:after="0"/>
              <w:jc w:val="center"/>
            </w:pPr>
            <w:r>
              <w:rPr>
                <w:rFonts w:ascii="Times New Roman" w:hAnsi="Times New Roman" w:eastAsia="Times New Roman" w:cs="Times New Roman"/>
                <w:b w:val="0"/>
                <w:bCs w:val="0"/>
                <w:sz w:val="14"/>
                <w:szCs w:val="14"/>
              </w:rPr>
              <w:t>11.0</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C5FB74A">
            <w:pPr>
              <w:spacing w:before="0" w:after="0"/>
              <w:jc w:val="center"/>
            </w:pPr>
            <w:r>
              <w:rPr>
                <w:rFonts w:ascii="Times New Roman" w:hAnsi="Times New Roman" w:eastAsia="Times New Roman" w:cs="Times New Roman"/>
                <w:b w:val="0"/>
                <w:bCs w:val="0"/>
                <w:sz w:val="14"/>
                <w:szCs w:val="14"/>
              </w:rPr>
              <w:t>78.99</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C03482E">
            <w:pPr>
              <w:spacing w:before="0" w:after="0"/>
              <w:jc w:val="center"/>
            </w:pPr>
            <w:r>
              <w:rPr>
                <w:rFonts w:ascii="Times New Roman" w:hAnsi="Times New Roman" w:eastAsia="Times New Roman" w:cs="Times New Roman"/>
                <w:b w:val="0"/>
                <w:bCs w:val="0"/>
                <w:sz w:val="14"/>
                <w:szCs w:val="14"/>
              </w:rPr>
              <w:t>Present</w:t>
            </w:r>
          </w:p>
        </w:tc>
      </w:tr>
      <w:tr w14:paraId="73FF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729E9DC">
            <w:pPr>
              <w:spacing w:before="0" w:after="0"/>
              <w:jc w:val="center"/>
            </w:pPr>
            <w:r>
              <w:rPr>
                <w:rFonts w:ascii="Times New Roman" w:hAnsi="Times New Roman" w:eastAsia="Times New Roman" w:cs="Times New Roman"/>
                <w:b w:val="0"/>
                <w:bCs w:val="0"/>
                <w:sz w:val="14"/>
                <w:szCs w:val="14"/>
              </w:rPr>
              <w:t>12.0</w:t>
            </w:r>
          </w:p>
        </w:tc>
        <w:tc>
          <w:tcPr>
            <w:tcW w:w="1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E62FF7E">
            <w:pPr>
              <w:spacing w:before="0" w:after="0"/>
              <w:jc w:val="center"/>
            </w:pPr>
            <w:r>
              <w:rPr>
                <w:rFonts w:ascii="Times New Roman" w:hAnsi="Times New Roman" w:eastAsia="Times New Roman" w:cs="Times New Roman"/>
                <w:b w:val="0"/>
                <w:bCs w:val="0"/>
                <w:sz w:val="14"/>
                <w:szCs w:val="14"/>
              </w:rPr>
              <w:t>47.41</w:t>
            </w:r>
          </w:p>
        </w:tc>
        <w:tc>
          <w:tcPr>
            <w:tcW w:w="21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C8D8A8A">
            <w:pPr>
              <w:spacing w:before="0" w:after="0"/>
              <w:jc w:val="center"/>
            </w:pPr>
            <w:r>
              <w:rPr>
                <w:rFonts w:ascii="Times New Roman" w:hAnsi="Times New Roman" w:eastAsia="Times New Roman" w:cs="Times New Roman"/>
                <w:b w:val="0"/>
                <w:bCs w:val="0"/>
                <w:sz w:val="14"/>
                <w:szCs w:val="14"/>
              </w:rPr>
              <w:t>Absent</w:t>
            </w:r>
          </w:p>
        </w:tc>
      </w:tr>
    </w:tbl>
    <w:p w14:paraId="493588E7">
      <w:pPr>
        <w:spacing w:before="100" w:after="40"/>
        <w:jc w:val="left"/>
      </w:pPr>
      <w:r>
        <w:rPr>
          <w:rFonts w:ascii="Times New Roman" w:hAnsi="Times New Roman" w:eastAsia="Times New Roman" w:cs="Times New Roman"/>
          <w:i/>
          <w:iCs/>
          <w:sz w:val="18"/>
          <w:szCs w:val="18"/>
        </w:rPr>
        <w:t>D. LLC and LCC Efficiency</w:t>
      </w:r>
    </w:p>
    <w:p w14:paraId="0C7BF269">
      <w:pPr>
        <w:spacing w:before="0" w:after="80" w:line="230" w:lineRule="auto"/>
        <w:ind w:firstLine="200"/>
        <w:jc w:val="both"/>
      </w:pPr>
      <w:r>
        <w:rPr>
          <w:rFonts w:ascii="Times New Roman" w:hAnsi="Times New Roman" w:eastAsia="Times New Roman" w:cs="Times New Roman"/>
          <w:b w:val="0"/>
          <w:bCs w:val="0"/>
          <w:i w:val="0"/>
          <w:iCs w:val="0"/>
          <w:sz w:val="18"/>
          <w:szCs w:val="18"/>
        </w:rPr>
        <w:t>The FHA-based theoretical efficiency model sweeps f_s from 50 kHz to 155 kHz at three load levels: 1000 W (R = 2.601 Ω), 500 W (R = 5.202 Ω), and 200 W (R = 13.005 Ω). At f_r = 102.8 kHz, the model predicts η = 97.74% (full load, 23.0 W total loss), η = 97.81% (half load, 11.2 W), and η = 97.69% (light load, 4.7 W). The consistently high efficiency across all three load levels—in sharp contrast to the 44% collapse observed under fixed-frequency open-loop control—demonstrates the transformative effect of closed-loop frequency modulation. The LLC's magnetising current sustains ZVS even at light load, preventing the efficiency collapse that afflicts the SRC and PRC in the same conditions.</w:t>
      </w:r>
    </w:p>
    <w:p w14:paraId="5228C8EF">
      <w:pPr>
        <w:spacing w:before="0" w:after="80" w:line="230" w:lineRule="auto"/>
        <w:ind w:firstLine="200"/>
        <w:jc w:val="both"/>
        <w:rPr>
          <w:rFonts w:hint="default" w:ascii="Times New Roman" w:hAnsi="Times New Roman" w:eastAsia="Times New Roman" w:cs="Times New Roman"/>
          <w:b/>
          <w:bCs/>
          <w:sz w:val="16"/>
          <w:szCs w:val="16"/>
          <w:lang w:val="en"/>
          <w:woUserID w:val="2"/>
        </w:rPr>
      </w:pPr>
      <w:r>
        <w:rPr>
          <w:rFonts w:ascii="Times New Roman" w:hAnsi="Times New Roman" w:eastAsia="Times New Roman" w:cs="Times New Roman"/>
          <w:b w:val="0"/>
          <w:bCs w:val="0"/>
          <w:i w:val="0"/>
          <w:iCs w:val="0"/>
          <w:sz w:val="18"/>
          <w:szCs w:val="18"/>
        </w:rPr>
        <w:t xml:space="preserve">The LCC achieves a comparable simulated efficiency of approximately 87.62% at its operating frequency of 217.5–218 kHz, with ZVS present above approximately 217.5 kHz. The narrower practical ZVS-efficiency overlap in the LCC (relative to the LLC) reflects the attenuated magnetising-current contribution caused by the </w:t>
      </w:r>
    </w:p>
    <w:p w14:paraId="20A1D954">
      <w:pPr>
        <w:spacing w:before="20" w:after="60"/>
        <w:jc w:val="center"/>
        <w:rPr>
          <w:rFonts w:ascii="Times New Roman" w:hAnsi="Times New Roman" w:eastAsia="Times New Roman" w:cs="Times New Roman"/>
          <w:b w:val="0"/>
          <w:bCs w:val="0"/>
          <w:i w:val="0"/>
          <w:iCs w:val="0"/>
          <w:sz w:val="18"/>
          <w:szCs w:val="18"/>
        </w:rPr>
      </w:pPr>
      <w:r>
        <w:rPr>
          <w:rFonts w:ascii="Times New Roman" w:hAnsi="Times New Roman" w:eastAsia="Times New Roman" w:cs="Times New Roman"/>
          <w:b/>
          <w:bCs/>
          <w:sz w:val="16"/>
          <w:szCs w:val="16"/>
          <w:woUserID w:val="1"/>
        </w:rPr>
        <w:t>TABLE IV
</w:t>
      </w:r>
      <w:r>
        <w:rPr>
          <w:rFonts w:ascii="Times New Roman" w:hAnsi="Times New Roman" w:eastAsia="Times New Roman" w:cs="Times New Roman"/>
          <w:i/>
          <w:iCs/>
          <w:sz w:val="16"/>
          <w:szCs w:val="16"/>
          <w:woUserID w:val="1"/>
        </w:rPr>
        <w:t xml:space="preserve">Peak Efficiency and Performance Comparison </w:t>
      </w:r>
    </w:p>
    <w:tbl>
      <w:tblPr>
        <w:tblStyle w:val="13"/>
        <w:tblpPr w:leftFromText="180" w:rightFromText="180" w:vertAnchor="page" w:horzAnchor="page" w:tblpX="847" w:tblpY="11741"/>
        <w:tblOverlap w:val="never"/>
        <w:tblW w:w="50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61"/>
        <w:gridCol w:w="682"/>
        <w:gridCol w:w="1402"/>
        <w:gridCol w:w="723"/>
        <w:gridCol w:w="962"/>
        <w:gridCol w:w="620"/>
      </w:tblGrid>
      <w:tr w14:paraId="697A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61"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1CB1806">
            <w:pPr>
              <w:spacing w:before="0" w:after="0"/>
              <w:jc w:val="center"/>
            </w:pPr>
            <w:r>
              <w:rPr>
                <w:rFonts w:ascii="Times New Roman" w:hAnsi="Times New Roman" w:eastAsia="Times New Roman" w:cs="Times New Roman"/>
                <w:b/>
                <w:bCs/>
                <w:sz w:val="14"/>
                <w:szCs w:val="14"/>
              </w:rPr>
              <w:t>Topology</w:t>
            </w:r>
          </w:p>
        </w:tc>
        <w:tc>
          <w:tcPr>
            <w:tcW w:w="68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F2AE2A4">
            <w:pPr>
              <w:spacing w:before="0" w:after="0"/>
              <w:jc w:val="center"/>
            </w:pPr>
            <w:r>
              <w:rPr>
                <w:rFonts w:ascii="Times New Roman" w:hAnsi="Times New Roman" w:eastAsia="Times New Roman" w:cs="Times New Roman"/>
                <w:b/>
                <w:bCs/>
                <w:sz w:val="14"/>
                <w:szCs w:val="14"/>
              </w:rPr>
              <w:t>Peak η</w:t>
            </w:r>
          </w:p>
        </w:tc>
        <w:tc>
          <w:tcPr>
            <w:tcW w:w="140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723BBFF">
            <w:pPr>
              <w:spacing w:before="0" w:after="0"/>
              <w:jc w:val="center"/>
            </w:pPr>
            <w:r>
              <w:rPr>
                <w:rFonts w:ascii="Times New Roman" w:hAnsi="Times New Roman" w:eastAsia="Times New Roman" w:cs="Times New Roman"/>
                <w:b/>
                <w:bCs/>
                <w:sz w:val="14"/>
                <w:szCs w:val="14"/>
              </w:rPr>
              <w:t>ZVS Range</w:t>
            </w:r>
          </w:p>
        </w:tc>
        <w:tc>
          <w:tcPr>
            <w:tcW w:w="723"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3D58746">
            <w:pPr>
              <w:spacing w:before="0" w:after="0"/>
              <w:jc w:val="center"/>
            </w:pPr>
            <w:r>
              <w:rPr>
                <w:rFonts w:ascii="Times New Roman" w:hAnsi="Times New Roman" w:eastAsia="Times New Roman" w:cs="Times New Roman"/>
                <w:b/>
                <w:bCs/>
                <w:sz w:val="14"/>
                <w:szCs w:val="14"/>
              </w:rPr>
              <w:t>f_r</w:t>
            </w:r>
          </w:p>
        </w:tc>
        <w:tc>
          <w:tcPr>
            <w:tcW w:w="96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27554BA">
            <w:pPr>
              <w:spacing w:before="0" w:after="0"/>
              <w:jc w:val="center"/>
            </w:pPr>
            <w:r>
              <w:rPr>
                <w:rFonts w:ascii="Times New Roman" w:hAnsi="Times New Roman" w:eastAsia="Times New Roman" w:cs="Times New Roman"/>
                <w:b/>
                <w:bCs/>
                <w:sz w:val="14"/>
                <w:szCs w:val="14"/>
              </w:rPr>
              <w:t>Light-Load η</w:t>
            </w:r>
          </w:p>
        </w:tc>
        <w:tc>
          <w:tcPr>
            <w:tcW w:w="62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B8C188C">
            <w:pPr>
              <w:spacing w:before="0" w:after="0"/>
              <w:jc w:val="center"/>
            </w:pPr>
            <w:r>
              <w:rPr>
                <w:rFonts w:ascii="Times New Roman" w:hAnsi="Times New Roman" w:eastAsia="Times New Roman" w:cs="Times New Roman"/>
                <w:b/>
                <w:bCs/>
                <w:sz w:val="14"/>
                <w:szCs w:val="14"/>
              </w:rPr>
              <w:t>Gain&gt;1?</w:t>
            </w:r>
          </w:p>
        </w:tc>
      </w:tr>
      <w:tr w14:paraId="7ACC7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1"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2E78F56">
            <w:pPr>
              <w:spacing w:before="0" w:after="0"/>
              <w:jc w:val="center"/>
            </w:pPr>
            <w:r>
              <w:rPr>
                <w:rFonts w:ascii="Times New Roman" w:hAnsi="Times New Roman" w:eastAsia="Times New Roman" w:cs="Times New Roman"/>
                <w:b w:val="0"/>
                <w:bCs w:val="0"/>
                <w:sz w:val="14"/>
                <w:szCs w:val="14"/>
              </w:rPr>
              <w:t>SRC</w:t>
            </w:r>
          </w:p>
        </w:tc>
        <w:tc>
          <w:tcPr>
            <w:tcW w:w="68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584D830">
            <w:pPr>
              <w:spacing w:before="0" w:after="0"/>
              <w:jc w:val="center"/>
            </w:pPr>
            <w:r>
              <w:rPr>
                <w:rFonts w:ascii="Times New Roman" w:hAnsi="Times New Roman" w:eastAsia="Times New Roman" w:cs="Times New Roman"/>
                <w:b w:val="0"/>
                <w:bCs w:val="0"/>
                <w:sz w:val="14"/>
                <w:szCs w:val="14"/>
              </w:rPr>
              <w:t>89.83%</w:t>
            </w:r>
          </w:p>
        </w:tc>
        <w:tc>
          <w:tcPr>
            <w:tcW w:w="140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90EF1C8">
            <w:pPr>
              <w:spacing w:before="0" w:after="0"/>
              <w:jc w:val="center"/>
            </w:pPr>
            <w:r>
              <w:rPr>
                <w:rFonts w:ascii="Times New Roman" w:hAnsi="Times New Roman" w:eastAsia="Times New Roman" w:cs="Times New Roman"/>
                <w:b w:val="0"/>
                <w:bCs w:val="0"/>
                <w:sz w:val="14"/>
                <w:szCs w:val="14"/>
              </w:rPr>
              <w:t>f_s &gt; f_r (wide)</w:t>
            </w:r>
          </w:p>
        </w:tc>
        <w:tc>
          <w:tcPr>
            <w:tcW w:w="723"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BBC36CD">
            <w:pPr>
              <w:spacing w:before="0" w:after="0"/>
              <w:jc w:val="center"/>
            </w:pPr>
            <w:r>
              <w:rPr>
                <w:rFonts w:ascii="Times New Roman" w:hAnsi="Times New Roman" w:eastAsia="Times New Roman" w:cs="Times New Roman"/>
                <w:b w:val="0"/>
                <w:bCs w:val="0"/>
                <w:sz w:val="14"/>
                <w:szCs w:val="14"/>
              </w:rPr>
              <w:t>11.26k</w:t>
            </w:r>
          </w:p>
        </w:tc>
        <w:tc>
          <w:tcPr>
            <w:tcW w:w="96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D77F115">
            <w:pPr>
              <w:spacing w:before="0" w:after="0"/>
              <w:jc w:val="center"/>
            </w:pPr>
            <w:r>
              <w:rPr>
                <w:rFonts w:ascii="Times New Roman" w:hAnsi="Times New Roman" w:eastAsia="Times New Roman" w:cs="Times New Roman"/>
                <w:b w:val="0"/>
                <w:bCs w:val="0"/>
                <w:sz w:val="14"/>
                <w:szCs w:val="14"/>
              </w:rPr>
              <w:t>Poor</w:t>
            </w:r>
          </w:p>
        </w:tc>
        <w:tc>
          <w:tcPr>
            <w:tcW w:w="62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18355FF">
            <w:pPr>
              <w:spacing w:before="0" w:after="0"/>
              <w:jc w:val="center"/>
            </w:pPr>
            <w:r>
              <w:rPr>
                <w:rFonts w:ascii="Times New Roman" w:hAnsi="Times New Roman" w:eastAsia="Times New Roman" w:cs="Times New Roman"/>
                <w:b w:val="0"/>
                <w:bCs w:val="0"/>
                <w:sz w:val="14"/>
                <w:szCs w:val="14"/>
              </w:rPr>
              <w:t>No</w:t>
            </w:r>
          </w:p>
        </w:tc>
      </w:tr>
      <w:tr w14:paraId="723F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1"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4E1056F">
            <w:pPr>
              <w:spacing w:before="0" w:after="0"/>
              <w:jc w:val="center"/>
            </w:pPr>
            <w:r>
              <w:rPr>
                <w:rFonts w:ascii="Times New Roman" w:hAnsi="Times New Roman" w:eastAsia="Times New Roman" w:cs="Times New Roman"/>
                <w:b w:val="0"/>
                <w:bCs w:val="0"/>
                <w:sz w:val="14"/>
                <w:szCs w:val="14"/>
              </w:rPr>
              <w:t>PRC</w:t>
            </w:r>
          </w:p>
        </w:tc>
        <w:tc>
          <w:tcPr>
            <w:tcW w:w="68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8ADB1B4">
            <w:pPr>
              <w:spacing w:before="0" w:after="0"/>
              <w:jc w:val="center"/>
            </w:pPr>
            <w:r>
              <w:rPr>
                <w:rFonts w:ascii="Times New Roman" w:hAnsi="Times New Roman" w:eastAsia="Times New Roman" w:cs="Times New Roman"/>
                <w:b w:val="0"/>
                <w:bCs w:val="0"/>
                <w:sz w:val="14"/>
                <w:szCs w:val="14"/>
              </w:rPr>
              <w:t>87.80%</w:t>
            </w:r>
          </w:p>
        </w:tc>
        <w:tc>
          <w:tcPr>
            <w:tcW w:w="140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B1033D3">
            <w:pPr>
              <w:spacing w:before="0" w:after="0"/>
              <w:jc w:val="center"/>
            </w:pPr>
            <w:r>
              <w:rPr>
                <w:rFonts w:ascii="Times New Roman" w:hAnsi="Times New Roman" w:eastAsia="Times New Roman" w:cs="Times New Roman"/>
                <w:b w:val="0"/>
                <w:bCs w:val="0"/>
                <w:sz w:val="14"/>
                <w:szCs w:val="14"/>
              </w:rPr>
              <w:t>10.6–11 kHz</w:t>
            </w:r>
          </w:p>
        </w:tc>
        <w:tc>
          <w:tcPr>
            <w:tcW w:w="723"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18C4A47">
            <w:pPr>
              <w:spacing w:before="0" w:after="0"/>
              <w:jc w:val="center"/>
            </w:pPr>
            <w:r>
              <w:rPr>
                <w:rFonts w:ascii="Times New Roman" w:hAnsi="Times New Roman" w:eastAsia="Times New Roman" w:cs="Times New Roman"/>
                <w:b w:val="0"/>
                <w:bCs w:val="0"/>
                <w:sz w:val="14"/>
                <w:szCs w:val="14"/>
              </w:rPr>
              <w:t>11.25k</w:t>
            </w:r>
          </w:p>
        </w:tc>
        <w:tc>
          <w:tcPr>
            <w:tcW w:w="96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F6DE4C4">
            <w:pPr>
              <w:spacing w:before="0" w:after="0"/>
              <w:jc w:val="center"/>
            </w:pPr>
            <w:r>
              <w:rPr>
                <w:rFonts w:ascii="Times New Roman" w:hAnsi="Times New Roman" w:eastAsia="Times New Roman" w:cs="Times New Roman"/>
                <w:b w:val="0"/>
                <w:bCs w:val="0"/>
                <w:sz w:val="14"/>
                <w:szCs w:val="14"/>
              </w:rPr>
              <w:t>Very Poor</w:t>
            </w:r>
          </w:p>
        </w:tc>
        <w:tc>
          <w:tcPr>
            <w:tcW w:w="62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8D4911D">
            <w:pPr>
              <w:spacing w:before="0" w:after="0"/>
              <w:jc w:val="center"/>
            </w:pPr>
            <w:r>
              <w:rPr>
                <w:rFonts w:ascii="Times New Roman" w:hAnsi="Times New Roman" w:eastAsia="Times New Roman" w:cs="Times New Roman"/>
                <w:b w:val="0"/>
                <w:bCs w:val="0"/>
                <w:sz w:val="14"/>
                <w:szCs w:val="14"/>
              </w:rPr>
              <w:t>Yes</w:t>
            </w:r>
          </w:p>
        </w:tc>
      </w:tr>
      <w:tr w14:paraId="47FB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1"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94F1C39">
            <w:pPr>
              <w:spacing w:before="0" w:after="0"/>
              <w:jc w:val="center"/>
            </w:pPr>
            <w:r>
              <w:rPr>
                <w:rFonts w:ascii="Times New Roman" w:hAnsi="Times New Roman" w:eastAsia="Times New Roman" w:cs="Times New Roman"/>
                <w:b w:val="0"/>
                <w:bCs w:val="0"/>
                <w:sz w:val="14"/>
                <w:szCs w:val="14"/>
              </w:rPr>
              <w:t>LLC</w:t>
            </w:r>
          </w:p>
        </w:tc>
        <w:tc>
          <w:tcPr>
            <w:tcW w:w="68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6D7BAB9">
            <w:pPr>
              <w:spacing w:before="0" w:after="0"/>
              <w:jc w:val="center"/>
            </w:pPr>
            <w:r>
              <w:rPr>
                <w:rFonts w:ascii="Times New Roman" w:hAnsi="Times New Roman" w:eastAsia="Times New Roman" w:cs="Times New Roman"/>
                <w:b w:val="0"/>
                <w:bCs w:val="0"/>
                <w:sz w:val="14"/>
                <w:szCs w:val="14"/>
              </w:rPr>
              <w:t>97.74%</w:t>
            </w:r>
          </w:p>
        </w:tc>
        <w:tc>
          <w:tcPr>
            <w:tcW w:w="140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34DCC53">
            <w:pPr>
              <w:spacing w:before="0" w:after="0"/>
              <w:jc w:val="center"/>
            </w:pPr>
            <w:r>
              <w:rPr>
                <w:rFonts w:ascii="Times New Roman" w:hAnsi="Times New Roman" w:eastAsia="Times New Roman" w:cs="Times New Roman"/>
                <w:b w:val="0"/>
                <w:bCs w:val="0"/>
                <w:sz w:val="14"/>
                <w:szCs w:val="14"/>
              </w:rPr>
              <w:t>f_s &gt; f_r (wide)</w:t>
            </w:r>
          </w:p>
        </w:tc>
        <w:tc>
          <w:tcPr>
            <w:tcW w:w="723"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3C9F770">
            <w:pPr>
              <w:spacing w:before="0" w:after="0"/>
              <w:jc w:val="center"/>
            </w:pPr>
            <w:r>
              <w:rPr>
                <w:rFonts w:ascii="Times New Roman" w:hAnsi="Times New Roman" w:eastAsia="Times New Roman" w:cs="Times New Roman"/>
                <w:b w:val="0"/>
                <w:bCs w:val="0"/>
                <w:sz w:val="14"/>
                <w:szCs w:val="14"/>
              </w:rPr>
              <w:t>102.8k</w:t>
            </w:r>
          </w:p>
        </w:tc>
        <w:tc>
          <w:tcPr>
            <w:tcW w:w="96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81D1B29">
            <w:pPr>
              <w:spacing w:before="0" w:after="0"/>
              <w:jc w:val="center"/>
            </w:pPr>
            <w:r>
              <w:rPr>
                <w:rFonts w:ascii="Times New Roman" w:hAnsi="Times New Roman" w:eastAsia="Times New Roman" w:cs="Times New Roman"/>
                <w:b w:val="0"/>
                <w:bCs w:val="0"/>
                <w:sz w:val="14"/>
                <w:szCs w:val="14"/>
              </w:rPr>
              <w:t>Excellent</w:t>
            </w:r>
          </w:p>
        </w:tc>
        <w:tc>
          <w:tcPr>
            <w:tcW w:w="62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19371F0">
            <w:pPr>
              <w:spacing w:before="0" w:after="0"/>
              <w:jc w:val="center"/>
            </w:pPr>
            <w:r>
              <w:rPr>
                <w:rFonts w:ascii="Times New Roman" w:hAnsi="Times New Roman" w:eastAsia="Times New Roman" w:cs="Times New Roman"/>
                <w:b w:val="0"/>
                <w:bCs w:val="0"/>
                <w:sz w:val="14"/>
                <w:szCs w:val="14"/>
              </w:rPr>
              <w:t>Yes*</w:t>
            </w:r>
          </w:p>
        </w:tc>
      </w:tr>
      <w:tr w14:paraId="390F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61"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FBBCB20">
            <w:pPr>
              <w:spacing w:before="0" w:after="0"/>
              <w:jc w:val="center"/>
            </w:pPr>
            <w:r>
              <w:rPr>
                <w:rFonts w:ascii="Times New Roman" w:hAnsi="Times New Roman" w:eastAsia="Times New Roman" w:cs="Times New Roman"/>
                <w:b w:val="0"/>
                <w:bCs w:val="0"/>
                <w:sz w:val="14"/>
                <w:szCs w:val="14"/>
              </w:rPr>
              <w:t>LCC</w:t>
            </w:r>
          </w:p>
        </w:tc>
        <w:tc>
          <w:tcPr>
            <w:tcW w:w="68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A4292AF">
            <w:pPr>
              <w:spacing w:before="0" w:after="0"/>
              <w:jc w:val="center"/>
            </w:pPr>
            <w:r>
              <w:rPr>
                <w:rFonts w:ascii="Times New Roman" w:hAnsi="Times New Roman" w:eastAsia="Times New Roman" w:cs="Times New Roman"/>
                <w:b w:val="0"/>
                <w:bCs w:val="0"/>
                <w:sz w:val="14"/>
                <w:szCs w:val="14"/>
              </w:rPr>
              <w:t>87.62%</w:t>
            </w:r>
          </w:p>
        </w:tc>
        <w:tc>
          <w:tcPr>
            <w:tcW w:w="140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B93F935">
            <w:pPr>
              <w:spacing w:before="0" w:after="0"/>
              <w:jc w:val="center"/>
            </w:pPr>
            <w:r>
              <w:rPr>
                <w:rFonts w:ascii="Times New Roman" w:hAnsi="Times New Roman" w:eastAsia="Times New Roman" w:cs="Times New Roman"/>
                <w:b w:val="0"/>
                <w:bCs w:val="0"/>
                <w:sz w:val="14"/>
                <w:szCs w:val="14"/>
              </w:rPr>
              <w:t>f_s &gt; f_r (wide)</w:t>
            </w:r>
          </w:p>
        </w:tc>
        <w:tc>
          <w:tcPr>
            <w:tcW w:w="723"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CAEBD3F">
            <w:pPr>
              <w:spacing w:before="0" w:after="0"/>
              <w:jc w:val="center"/>
            </w:pPr>
            <w:r>
              <w:rPr>
                <w:rFonts w:ascii="Times New Roman" w:hAnsi="Times New Roman" w:eastAsia="Times New Roman" w:cs="Times New Roman"/>
                <w:b w:val="0"/>
                <w:bCs w:val="0"/>
                <w:sz w:val="14"/>
                <w:szCs w:val="14"/>
              </w:rPr>
              <w:t>102.7k</w:t>
            </w:r>
          </w:p>
        </w:tc>
        <w:tc>
          <w:tcPr>
            <w:tcW w:w="962"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219C7F2">
            <w:pPr>
              <w:spacing w:before="0" w:after="0"/>
              <w:jc w:val="center"/>
            </w:pPr>
            <w:r>
              <w:rPr>
                <w:rFonts w:ascii="Times New Roman" w:hAnsi="Times New Roman" w:eastAsia="Times New Roman" w:cs="Times New Roman"/>
                <w:b w:val="0"/>
                <w:bCs w:val="0"/>
                <w:sz w:val="14"/>
                <w:szCs w:val="14"/>
              </w:rPr>
              <w:t>Good</w:t>
            </w:r>
          </w:p>
        </w:tc>
        <w:tc>
          <w:tcPr>
            <w:tcW w:w="62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CF4A3C1">
            <w:pPr>
              <w:spacing w:before="0" w:after="0"/>
              <w:jc w:val="center"/>
            </w:pPr>
            <w:r>
              <w:rPr>
                <w:rFonts w:ascii="Times New Roman" w:hAnsi="Times New Roman" w:eastAsia="Times New Roman" w:cs="Times New Roman"/>
                <w:b w:val="0"/>
                <w:bCs w:val="0"/>
                <w:sz w:val="14"/>
                <w:szCs w:val="14"/>
              </w:rPr>
              <w:t>Yes*</w:t>
            </w:r>
          </w:p>
        </w:tc>
      </w:tr>
    </w:tbl>
    <w:p w14:paraId="11789A33">
      <w:pPr>
        <w:spacing w:before="100" w:after="40"/>
        <w:jc w:val="left"/>
      </w:pPr>
      <w:r>
        <w:rPr>
          <w:rFonts w:ascii="Times New Roman" w:hAnsi="Times New Roman" w:eastAsia="Times New Roman" w:cs="Times New Roman"/>
          <w:i/>
          <w:iCs/>
          <w:sz w:val="18"/>
          <w:szCs w:val="18"/>
        </w:rPr>
        <w:t>E. Comparative Summary</w:t>
      </w:r>
    </w:p>
    <w:p w14:paraId="2313E821">
      <w:pPr>
        <w:spacing w:before="100" w:after="40"/>
        <w:jc w:val="center"/>
      </w:pPr>
      <w:r>
        <w:rPr>
          <w:rFonts w:ascii="Times New Roman" w:hAnsi="Times New Roman" w:eastAsia="Times New Roman" w:cs="Times New Roman"/>
          <w:b/>
          <w:bCs/>
          <w:sz w:val="16"/>
          <w:szCs w:val="16"/>
        </w:rPr>
        <w:t>TABLE V
</w:t>
      </w:r>
      <w:r>
        <w:rPr>
          <w:rFonts w:ascii="Times New Roman" w:hAnsi="Times New Roman" w:eastAsia="Times New Roman" w:cs="Times New Roman"/>
          <w:i/>
          <w:iCs/>
          <w:sz w:val="16"/>
          <w:szCs w:val="16"/>
        </w:rPr>
        <w:t>Estimated Loss Breakdown at Rated Operating Conditions</w:t>
      </w:r>
    </w:p>
    <w:tbl>
      <w:tblPr>
        <w:tblStyle w:val="13"/>
        <w:tblW w:w="50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4"/>
        <w:gridCol w:w="885"/>
        <w:gridCol w:w="885"/>
        <w:gridCol w:w="885"/>
        <w:gridCol w:w="885"/>
      </w:tblGrid>
      <w:tr w14:paraId="4685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blHeader/>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2915F29">
            <w:pPr>
              <w:spacing w:before="0" w:after="0"/>
              <w:jc w:val="center"/>
            </w:pPr>
            <w:r>
              <w:rPr>
                <w:rFonts w:ascii="Times New Roman" w:hAnsi="Times New Roman" w:eastAsia="Times New Roman" w:cs="Times New Roman"/>
                <w:b/>
                <w:bCs/>
                <w:sz w:val="14"/>
                <w:szCs w:val="14"/>
              </w:rPr>
              <w:t>Loss Component</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B9D7E86">
            <w:pPr>
              <w:spacing w:before="0" w:after="0"/>
              <w:jc w:val="center"/>
            </w:pPr>
            <w:r>
              <w:rPr>
                <w:rFonts w:ascii="Times New Roman" w:hAnsi="Times New Roman" w:eastAsia="Times New Roman" w:cs="Times New Roman"/>
                <w:b/>
                <w:bCs/>
                <w:sz w:val="14"/>
                <w:szCs w:val="14"/>
              </w:rPr>
              <w:t>SRC (W)</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BE6A830">
            <w:pPr>
              <w:spacing w:before="0" w:after="0"/>
              <w:jc w:val="center"/>
            </w:pPr>
            <w:r>
              <w:rPr>
                <w:rFonts w:ascii="Times New Roman" w:hAnsi="Times New Roman" w:eastAsia="Times New Roman" w:cs="Times New Roman"/>
                <w:b/>
                <w:bCs/>
                <w:sz w:val="14"/>
                <w:szCs w:val="14"/>
              </w:rPr>
              <w:t>PRC (W)</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FD1354B">
            <w:pPr>
              <w:spacing w:before="0" w:after="0"/>
              <w:jc w:val="center"/>
            </w:pPr>
            <w:r>
              <w:rPr>
                <w:rFonts w:ascii="Times New Roman" w:hAnsi="Times New Roman" w:eastAsia="Times New Roman" w:cs="Times New Roman"/>
                <w:b/>
                <w:bCs/>
                <w:sz w:val="14"/>
                <w:szCs w:val="14"/>
              </w:rPr>
              <w:t>LLC (W)</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3116DAA">
            <w:pPr>
              <w:spacing w:before="0" w:after="0"/>
              <w:jc w:val="center"/>
            </w:pPr>
            <w:r>
              <w:rPr>
                <w:rFonts w:ascii="Times New Roman" w:hAnsi="Times New Roman" w:eastAsia="Times New Roman" w:cs="Times New Roman"/>
                <w:b/>
                <w:bCs/>
                <w:sz w:val="14"/>
                <w:szCs w:val="14"/>
              </w:rPr>
              <w:t>LCC (W)</w:t>
            </w:r>
          </w:p>
        </w:tc>
      </w:tr>
      <w:tr w14:paraId="097E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9F851BB">
            <w:pPr>
              <w:spacing w:before="0" w:after="0"/>
              <w:jc w:val="center"/>
            </w:pPr>
            <w:r>
              <w:rPr>
                <w:rFonts w:ascii="Times New Roman" w:hAnsi="Times New Roman" w:eastAsia="Times New Roman" w:cs="Times New Roman"/>
                <w:b w:val="0"/>
                <w:bCs w:val="0"/>
                <w:sz w:val="14"/>
                <w:szCs w:val="14"/>
              </w:rPr>
              <w:t>MOSFET conduction</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86F8A5F">
            <w:pPr>
              <w:spacing w:before="0" w:after="0"/>
              <w:jc w:val="center"/>
            </w:pPr>
            <w:r>
              <w:rPr>
                <w:rFonts w:ascii="Times New Roman" w:hAnsi="Times New Roman" w:eastAsia="Times New Roman" w:cs="Times New Roman"/>
                <w:b w:val="0"/>
                <w:bCs w:val="0"/>
                <w:sz w:val="14"/>
                <w:szCs w:val="14"/>
              </w:rPr>
              <w:t>31.7</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8E82210">
            <w:pPr>
              <w:spacing w:before="0" w:after="0"/>
              <w:jc w:val="center"/>
            </w:pPr>
            <w:r>
              <w:rPr>
                <w:rFonts w:ascii="Times New Roman" w:hAnsi="Times New Roman" w:eastAsia="Times New Roman" w:cs="Times New Roman"/>
                <w:b w:val="0"/>
                <w:bCs w:val="0"/>
                <w:sz w:val="14"/>
                <w:szCs w:val="14"/>
              </w:rPr>
              <w:t>6.1</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FC10DA0">
            <w:pPr>
              <w:spacing w:before="0" w:after="0"/>
              <w:jc w:val="center"/>
            </w:pPr>
            <w:r>
              <w:rPr>
                <w:rFonts w:ascii="Times New Roman" w:hAnsi="Times New Roman" w:eastAsia="Times New Roman" w:cs="Times New Roman"/>
                <w:b w:val="0"/>
                <w:bCs w:val="0"/>
                <w:sz w:val="14"/>
                <w:szCs w:val="14"/>
              </w:rPr>
              <w:t>12.0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C345CFE">
            <w:pPr>
              <w:spacing w:before="0" w:after="0"/>
              <w:jc w:val="center"/>
            </w:pPr>
            <w:r>
              <w:rPr>
                <w:rFonts w:ascii="Times New Roman" w:hAnsi="Times New Roman" w:eastAsia="Times New Roman" w:cs="Times New Roman"/>
                <w:b w:val="0"/>
                <w:bCs w:val="0"/>
                <w:sz w:val="14"/>
                <w:szCs w:val="14"/>
              </w:rPr>
              <w:t>2.7</w:t>
            </w:r>
          </w:p>
        </w:tc>
      </w:tr>
      <w:tr w14:paraId="05B75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9CA7CE5">
            <w:pPr>
              <w:spacing w:before="0" w:after="0"/>
              <w:jc w:val="center"/>
            </w:pPr>
            <w:r>
              <w:rPr>
                <w:rFonts w:ascii="Times New Roman" w:hAnsi="Times New Roman" w:eastAsia="Times New Roman" w:cs="Times New Roman"/>
                <w:b w:val="0"/>
                <w:bCs w:val="0"/>
                <w:sz w:val="14"/>
                <w:szCs w:val="14"/>
              </w:rPr>
              <w:t>Switching (turn-off)</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399AA68">
            <w:pPr>
              <w:spacing w:before="0" w:after="0"/>
              <w:jc w:val="center"/>
            </w:pPr>
            <w:r>
              <w:rPr>
                <w:rFonts w:ascii="Times New Roman" w:hAnsi="Times New Roman" w:eastAsia="Times New Roman" w:cs="Times New Roman"/>
                <w:b w:val="0"/>
                <w:bCs w:val="0"/>
                <w:sz w:val="14"/>
                <w:szCs w:val="14"/>
              </w:rPr>
              <w:t>4.1</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DB0F5A1">
            <w:pPr>
              <w:spacing w:before="0" w:after="0"/>
              <w:jc w:val="center"/>
            </w:pPr>
            <w:r>
              <w:rPr>
                <w:rFonts w:ascii="Times New Roman" w:hAnsi="Times New Roman" w:eastAsia="Times New Roman" w:cs="Times New Roman"/>
                <w:b w:val="0"/>
                <w:bCs w:val="0"/>
                <w:sz w:val="14"/>
                <w:szCs w:val="14"/>
              </w:rPr>
              <w:t>84.9</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FEB0FF1">
            <w:pPr>
              <w:spacing w:before="0" w:after="0"/>
              <w:jc w:val="center"/>
            </w:pPr>
            <w:r>
              <w:rPr>
                <w:rFonts w:ascii="Times New Roman" w:hAnsi="Times New Roman" w:eastAsia="Times New Roman" w:cs="Times New Roman"/>
                <w:b w:val="0"/>
                <w:bCs w:val="0"/>
                <w:sz w:val="14"/>
                <w:szCs w:val="14"/>
              </w:rPr>
              <w:t>4.0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A597804">
            <w:pPr>
              <w:spacing w:before="0" w:after="0"/>
              <w:jc w:val="center"/>
            </w:pPr>
            <w:r>
              <w:rPr>
                <w:rFonts w:ascii="Times New Roman" w:hAnsi="Times New Roman" w:eastAsia="Times New Roman" w:cs="Times New Roman"/>
                <w:b w:val="0"/>
                <w:bCs w:val="0"/>
                <w:sz w:val="14"/>
                <w:szCs w:val="14"/>
              </w:rPr>
              <w:t>93.9</w:t>
            </w:r>
          </w:p>
        </w:tc>
      </w:tr>
      <w:tr w14:paraId="07E8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A6CEFB2">
            <w:pPr>
              <w:spacing w:before="0" w:after="0"/>
              <w:jc w:val="center"/>
            </w:pPr>
            <w:r>
              <w:rPr>
                <w:rFonts w:ascii="Times New Roman" w:hAnsi="Times New Roman" w:eastAsia="Times New Roman" w:cs="Times New Roman"/>
                <w:b w:val="0"/>
                <w:bCs w:val="0"/>
                <w:sz w:val="14"/>
                <w:szCs w:val="14"/>
              </w:rPr>
              <w:t>Magnetics copper</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30D24DC">
            <w:pPr>
              <w:spacing w:before="0" w:after="0"/>
              <w:jc w:val="center"/>
            </w:pPr>
            <w:r>
              <w:rPr>
                <w:rFonts w:ascii="Times New Roman" w:hAnsi="Times New Roman" w:eastAsia="Times New Roman" w:cs="Times New Roman"/>
                <w:b w:val="0"/>
                <w:bCs w:val="0"/>
                <w:sz w:val="14"/>
                <w:szCs w:val="14"/>
              </w:rPr>
              <w:t>53.9</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3A14869">
            <w:pPr>
              <w:spacing w:before="0" w:after="0"/>
              <w:jc w:val="center"/>
            </w:pPr>
            <w:r>
              <w:rPr>
                <w:rFonts w:ascii="Times New Roman" w:hAnsi="Times New Roman" w:eastAsia="Times New Roman" w:cs="Times New Roman"/>
                <w:b w:val="0"/>
                <w:bCs w:val="0"/>
                <w:sz w:val="14"/>
                <w:szCs w:val="14"/>
              </w:rPr>
              <w:t>24.5</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77C4E03">
            <w:pPr>
              <w:spacing w:before="0" w:after="0"/>
              <w:jc w:val="center"/>
            </w:pPr>
            <w:r>
              <w:rPr>
                <w:rFonts w:ascii="Times New Roman" w:hAnsi="Times New Roman" w:eastAsia="Times New Roman" w:cs="Times New Roman"/>
                <w:b w:val="0"/>
                <w:bCs w:val="0"/>
                <w:sz w:val="14"/>
                <w:szCs w:val="14"/>
              </w:rPr>
              <w:t>5.0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22A56B5">
            <w:pPr>
              <w:spacing w:before="0" w:after="0"/>
              <w:jc w:val="center"/>
            </w:pPr>
            <w:r>
              <w:rPr>
                <w:rFonts w:ascii="Times New Roman" w:hAnsi="Times New Roman" w:eastAsia="Times New Roman" w:cs="Times New Roman"/>
                <w:b w:val="0"/>
                <w:bCs w:val="0"/>
                <w:sz w:val="14"/>
                <w:szCs w:val="14"/>
              </w:rPr>
              <w:t>22.8</w:t>
            </w:r>
          </w:p>
        </w:tc>
      </w:tr>
      <w:tr w14:paraId="0605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01E8287">
            <w:pPr>
              <w:spacing w:before="0" w:after="0"/>
              <w:jc w:val="center"/>
            </w:pPr>
            <w:r>
              <w:rPr>
                <w:rFonts w:ascii="Times New Roman" w:hAnsi="Times New Roman" w:eastAsia="Times New Roman" w:cs="Times New Roman"/>
                <w:b w:val="0"/>
                <w:bCs w:val="0"/>
                <w:sz w:val="14"/>
                <w:szCs w:val="14"/>
              </w:rPr>
              <w:t>Diode rectifier</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D960DC3">
            <w:pPr>
              <w:spacing w:before="0" w:after="0"/>
              <w:jc w:val="center"/>
            </w:pPr>
            <w:r>
              <w:rPr>
                <w:rFonts w:ascii="Times New Roman" w:hAnsi="Times New Roman" w:eastAsia="Times New Roman" w:cs="Times New Roman"/>
                <w:b w:val="0"/>
                <w:bCs w:val="0"/>
                <w:sz w:val="14"/>
                <w:szCs w:val="14"/>
              </w:rPr>
              <w:t>23.5</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0A78D66">
            <w:pPr>
              <w:spacing w:before="0" w:after="0"/>
              <w:jc w:val="center"/>
            </w:pPr>
            <w:r>
              <w:rPr>
                <w:rFonts w:ascii="Times New Roman" w:hAnsi="Times New Roman" w:eastAsia="Times New Roman" w:cs="Times New Roman"/>
                <w:b w:val="0"/>
                <w:bCs w:val="0"/>
                <w:sz w:val="14"/>
                <w:szCs w:val="14"/>
              </w:rPr>
              <w:t>23.5</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9AED39A">
            <w:pPr>
              <w:spacing w:before="0" w:after="0"/>
              <w:jc w:val="center"/>
            </w:pPr>
            <w:r>
              <w:rPr>
                <w:rFonts w:ascii="Times New Roman" w:hAnsi="Times New Roman" w:eastAsia="Times New Roman" w:cs="Times New Roman"/>
                <w:b w:val="0"/>
                <w:bCs w:val="0"/>
                <w:sz w:val="14"/>
                <w:szCs w:val="14"/>
              </w:rPr>
              <w:t>2.0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B2399CA">
            <w:pPr>
              <w:spacing w:before="0" w:after="0"/>
              <w:jc w:val="center"/>
            </w:pPr>
            <w:r>
              <w:rPr>
                <w:rFonts w:ascii="Times New Roman" w:hAnsi="Times New Roman" w:eastAsia="Times New Roman" w:cs="Times New Roman"/>
                <w:b w:val="0"/>
                <w:bCs w:val="0"/>
                <w:sz w:val="14"/>
                <w:szCs w:val="14"/>
              </w:rPr>
              <w:t>23.5</w:t>
            </w:r>
          </w:p>
        </w:tc>
      </w:tr>
      <w:tr w14:paraId="60CE9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 w:hRule="atLeast"/>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2418760">
            <w:pPr>
              <w:spacing w:before="0" w:after="0"/>
              <w:jc w:val="center"/>
            </w:pPr>
            <w:r>
              <w:rPr>
                <w:rFonts w:ascii="Times New Roman" w:hAnsi="Times New Roman" w:eastAsia="Times New Roman" w:cs="Times New Roman"/>
                <w:b w:val="0"/>
                <w:bCs w:val="0"/>
                <w:sz w:val="14"/>
                <w:szCs w:val="14"/>
              </w:rPr>
              <w:t>Total loss</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EF3043D">
            <w:pPr>
              <w:spacing w:before="0" w:after="0"/>
              <w:jc w:val="center"/>
            </w:pPr>
            <w:r>
              <w:rPr>
                <w:rFonts w:ascii="Times New Roman" w:hAnsi="Times New Roman" w:eastAsia="Times New Roman" w:cs="Times New Roman"/>
                <w:b w:val="0"/>
                <w:bCs w:val="0"/>
                <w:sz w:val="14"/>
                <w:szCs w:val="14"/>
              </w:rPr>
              <w:t>113.3</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3D5D87C">
            <w:pPr>
              <w:spacing w:before="0" w:after="0"/>
              <w:jc w:val="center"/>
            </w:pPr>
            <w:r>
              <w:rPr>
                <w:rFonts w:ascii="Times New Roman" w:hAnsi="Times New Roman" w:eastAsia="Times New Roman" w:cs="Times New Roman"/>
                <w:b w:val="0"/>
                <w:bCs w:val="0"/>
                <w:sz w:val="14"/>
                <w:szCs w:val="14"/>
              </w:rPr>
              <w:t>139.0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7B1A48F">
            <w:pPr>
              <w:spacing w:before="0" w:after="0"/>
              <w:jc w:val="center"/>
            </w:pPr>
            <w:r>
              <w:rPr>
                <w:rFonts w:ascii="Times New Roman" w:hAnsi="Times New Roman" w:eastAsia="Times New Roman" w:cs="Times New Roman"/>
                <w:b w:val="0"/>
                <w:bCs w:val="0"/>
                <w:sz w:val="14"/>
                <w:szCs w:val="14"/>
              </w:rPr>
              <w:t>23.0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9ADBE67">
            <w:pPr>
              <w:spacing w:before="0" w:after="0"/>
              <w:jc w:val="center"/>
            </w:pPr>
            <w:r>
              <w:rPr>
                <w:rFonts w:ascii="Times New Roman" w:hAnsi="Times New Roman" w:eastAsia="Times New Roman" w:cs="Times New Roman"/>
                <w:b w:val="0"/>
                <w:bCs w:val="0"/>
                <w:sz w:val="14"/>
                <w:szCs w:val="14"/>
              </w:rPr>
              <w:t>142.9</w:t>
            </w:r>
          </w:p>
        </w:tc>
      </w:tr>
      <w:tr w14:paraId="305E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5" w:hRule="atLeast"/>
        </w:trPr>
        <w:tc>
          <w:tcPr>
            <w:tcW w:w="1504"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72A1BF6">
            <w:pPr>
              <w:spacing w:before="0" w:after="0"/>
              <w:jc w:val="center"/>
            </w:pPr>
            <w:r>
              <w:rPr>
                <w:rFonts w:ascii="Times New Roman" w:hAnsi="Times New Roman" w:eastAsia="Times New Roman" w:cs="Times New Roman"/>
                <w:b w:val="0"/>
                <w:bCs w:val="0"/>
                <w:sz w:val="14"/>
                <w:szCs w:val="14"/>
              </w:rPr>
              <w:t>Efficiency (%)</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7D47469">
            <w:pPr>
              <w:spacing w:before="0" w:after="0"/>
              <w:jc w:val="center"/>
            </w:pPr>
            <w:r>
              <w:rPr>
                <w:rFonts w:ascii="Times New Roman" w:hAnsi="Times New Roman" w:eastAsia="Times New Roman" w:cs="Times New Roman"/>
                <w:b w:val="0"/>
                <w:bCs w:val="0"/>
                <w:sz w:val="14"/>
                <w:szCs w:val="14"/>
              </w:rPr>
              <w:t>89.83</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C61933E">
            <w:pPr>
              <w:spacing w:before="0" w:after="0"/>
              <w:jc w:val="center"/>
            </w:pPr>
            <w:r>
              <w:rPr>
                <w:rFonts w:ascii="Times New Roman" w:hAnsi="Times New Roman" w:eastAsia="Times New Roman" w:cs="Times New Roman"/>
                <w:b w:val="0"/>
                <w:bCs w:val="0"/>
                <w:sz w:val="14"/>
                <w:szCs w:val="14"/>
              </w:rPr>
              <w:t>87.80</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815DDB7">
            <w:pPr>
              <w:spacing w:before="0" w:after="0"/>
              <w:jc w:val="center"/>
            </w:pPr>
            <w:r>
              <w:rPr>
                <w:rFonts w:ascii="Times New Roman" w:hAnsi="Times New Roman" w:eastAsia="Times New Roman" w:cs="Times New Roman"/>
                <w:b w:val="0"/>
                <w:bCs w:val="0"/>
                <w:sz w:val="14"/>
                <w:szCs w:val="14"/>
              </w:rPr>
              <w:t>97.74</w:t>
            </w:r>
          </w:p>
        </w:tc>
        <w:tc>
          <w:tcPr>
            <w:tcW w:w="885"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029EBD7">
            <w:pPr>
              <w:spacing w:before="0" w:after="0"/>
              <w:jc w:val="center"/>
            </w:pPr>
            <w:r>
              <w:rPr>
                <w:rFonts w:ascii="Times New Roman" w:hAnsi="Times New Roman" w:eastAsia="Times New Roman" w:cs="Times New Roman"/>
                <w:b w:val="0"/>
                <w:bCs w:val="0"/>
                <w:sz w:val="14"/>
                <w:szCs w:val="14"/>
              </w:rPr>
              <w:t>87.50</w:t>
            </w:r>
          </w:p>
        </w:tc>
      </w:tr>
    </w:tbl>
    <w:p w14:paraId="47107662">
      <w:pPr>
        <w:spacing w:before="0" w:after="80" w:line="230" w:lineRule="auto"/>
        <w:ind w:firstLine="200"/>
        <w:jc w:val="both"/>
      </w:pPr>
      <w:r>
        <w:rPr>
          <w:rFonts w:ascii="Times New Roman" w:hAnsi="Times New Roman" w:eastAsia="Times New Roman" w:cs="Times New Roman"/>
          <w:b w:val="0"/>
          <w:bCs w:val="0"/>
          <w:i w:val="0"/>
          <w:iCs w:val="0"/>
          <w:sz w:val="18"/>
          <w:szCs w:val="18"/>
        </w:rPr>
        <w:t>The LLC's efficiency advantage stems from three structural factors: (i) ZVS is maintained from no load to full load via the magnetising-current mechanism; (ii) at f_s = f_{r1} the gain is unity and only the magnetising current circulates without contributing to load transfer, minimising copper loss; and (iii) 100+ kHz operation reduces magnetic component size while ZVS eliminates turn-on switching loss entirely. The SRC's relative advantage over the PRC (89.83% versus 87.80%) reflects its inherently lower circulating current, since the series topology restricts tank current to the load current magnitude.</w:t>
      </w:r>
    </w:p>
    <w:p w14:paraId="563FC8BF">
      <w:pPr>
        <w:spacing w:before="160" w:after="80"/>
        <w:jc w:val="center"/>
      </w:pPr>
      <w:r>
        <w:rPr>
          <w:rFonts w:ascii="Times New Roman" w:hAnsi="Times New Roman" w:eastAsia="Times New Roman" w:cs="Times New Roman"/>
          <w:b/>
          <w:bCs/>
          <w:sz w:val="18"/>
          <w:szCs w:val="18"/>
        </w:rPr>
        <w:t>VII. HARDWARE IMPLEMENTATION</w:t>
      </w:r>
    </w:p>
    <w:p w14:paraId="0665C046">
      <w:pPr>
        <w:spacing w:before="100" w:after="40"/>
        <w:jc w:val="left"/>
      </w:pPr>
      <w:r>
        <w:rPr>
          <w:rFonts w:ascii="Times New Roman" w:hAnsi="Times New Roman" w:eastAsia="Times New Roman" w:cs="Times New Roman"/>
          <w:i/>
          <w:iCs/>
          <w:sz w:val="18"/>
          <w:szCs w:val="18"/>
        </w:rPr>
        <w:t>A. Four-PCB Architecture Overview</w:t>
      </w:r>
    </w:p>
    <w:p w14:paraId="720C07D3">
      <w:pPr>
        <w:spacing w:before="0" w:after="80" w:line="230" w:lineRule="auto"/>
        <w:ind w:firstLine="200"/>
        <w:jc w:val="both"/>
      </w:pPr>
      <w:r>
        <w:rPr>
          <w:rFonts w:ascii="Times New Roman" w:hAnsi="Times New Roman" w:eastAsia="Times New Roman" w:cs="Times New Roman"/>
          <w:b w:val="0"/>
          <w:bCs w:val="0"/>
          <w:i w:val="0"/>
          <w:iCs w:val="0"/>
          <w:sz w:val="18"/>
          <w:szCs w:val="18"/>
        </w:rPr>
        <w:t>The hardware prototype is structured across four dedicated PCBs, each serving a distinct functional role: (1) the Power PCB housing the full-bridge inverter and resonant tank; (2) the Signal Conditioning PCB for input voltage measurement; (3) the Current Sensing PCB for resonant inductor current measurement; and (4) the Power Supply PCB providing isolated low-voltage power to all control and sensing circuits. This modular architecture maintains strict electromagnetic separation between the 560 V high-power switching domain and the low-voltage signal domain, following high-frequency layout guidelines including star-point grounding, short high-current traces, and bypass capacitors placed within 2 mm of every active device.</w:t>
      </w:r>
    </w:p>
    <w:p w14:paraId="5469179C">
      <w:pPr>
        <w:spacing w:before="100" w:after="40"/>
        <w:jc w:val="left"/>
      </w:pPr>
      <w:r>
        <w:rPr>
          <w:rFonts w:ascii="Times New Roman" w:hAnsi="Times New Roman" w:eastAsia="Times New Roman" w:cs="Times New Roman"/>
          <w:i/>
          <w:iCs/>
          <w:sz w:val="18"/>
          <w:szCs w:val="18"/>
        </w:rPr>
        <w:t>B. Power PCB</w:t>
      </w:r>
    </w:p>
    <w:p w14:paraId="7950988D">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The Power PCB implements the main power conversion stage of the resonant converter. It integrates the input DC-link filtering, surge protection, full-bridge inverter, resonant tank interface, and output filtering required for stable converter operation. Four 1200 V SiC MOSFETs configured as a full bridge are employed to achieve high-efficiency switching at the 560 V input bus. Gate resistors and drain-source snubber capacitors are incorporated to suppress switching oscillations, limit voltage overshoot, and improve switching reliability. Input filter capacitors provide DC-link energy storage, while metal oxide varistors protect the converter against transient overvoltage conditions.</w:t>
      </w:r>
    </w:p>
    <w:p w14:paraId="5B08072E">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Silicon carbide (SiC) MOSFETs were selected because of their low switching losses, high-temperature capability, and negligible reverse-recovery characteristics, enabling reliable Zero Voltage Switching (ZVS) operation and improved converter efficiency at high switching frequencies. The output stage is completed by a high-capacitance filter that minimizes output voltage ripple and improves load regulation. The specifications of the major power-stage components are summarized in Table VI.</w:t>
      </w:r>
    </w:p>
    <w:p w14:paraId="6337B43D">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C. Signal Conditioning PCB</w:t>
      </w:r>
    </w:p>
    <w:p w14:paraId="1C50F867">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The Signal Conditioning PCB provides accurate measurement and isolation of the high-voltage DC bus before the signal is processed by the digital controller. The input voltage is first scaled to the controller's ADC range using a precision resistive divider. A galvanic isolation stage based on the ADUM1201 digital isolator electrically separates the high-voltage power stage from the low-voltage control circuitry, thereby improving system safety and noise immunity.</w:t>
      </w:r>
    </w:p>
    <w:p w14:paraId="21EE48D3">
      <w:pPr>
        <w:spacing w:before="0" w:after="80" w:line="230" w:lineRule="auto"/>
        <w:ind w:firstLine="200"/>
        <w:jc w:val="both"/>
      </w:pPr>
      <w:r>
        <w:rPr>
          <w:rFonts w:ascii="Times New Roman" w:hAnsi="Times New Roman" w:eastAsia="Times New Roman" w:cs="Times New Roman"/>
          <w:b w:val="0"/>
          <w:bCs w:val="0"/>
          <w:i w:val="0"/>
          <w:iCs w:val="0"/>
          <w:sz w:val="18"/>
          <w:szCs w:val="18"/>
          <w:woUserID w:val="1"/>
        </w:rPr>
        <w:t>Following isolation, the signal passes through a unity-gain differential amplifier and a first-order low-pass filter to attenuate high-frequency switching noise before analog-to-digital conversion. This signal-conditioning chain ensures that the controller receives a clean and accurately scaled representation of the DC bus voltage for closed-loop regulation.</w:t>
      </w:r>
    </w:p>
    <w:p w14:paraId="02415829">
      <w:pPr>
        <w:spacing w:before="100" w:after="40"/>
        <w:jc w:val="left"/>
      </w:pPr>
      <w:r>
        <w:rPr>
          <w:rFonts w:ascii="Times New Roman" w:hAnsi="Times New Roman" w:eastAsia="Times New Roman" w:cs="Times New Roman"/>
          <w:i/>
          <w:iCs/>
          <w:sz w:val="18"/>
          <w:szCs w:val="18"/>
        </w:rPr>
        <w:t>D. Current Sensing PCB</w:t>
      </w:r>
    </w:p>
    <w:p w14:paraId="42CA3495">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The Current Sensing PCB measures the resonant inductor current required for converter monitoring and closed-loop control. A low-resistance shunt network converts the resonant current into a measurable differential voltage while minimizing conduction losses. Common-mode chokes suppress high-frequency switching noise before the sensed signal is amplified by a precision differential amplifier and filtered to remove unwanted high-frequency components prior to ADC sampling.</w:t>
      </w:r>
    </w:p>
    <w:p w14:paraId="2D47E02B">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In addition to current measurement, the PCB incorporates a dedicated zero-crossing detection circuit that generates a digital pulse whenever the resonant current crosses zero. This signal enables real-time monitoring of resonant operation and provides timing information for adaptive dead-time control, thereby supporting reliable Zero Voltage Switching (ZVS) throughout converter operation.</w:t>
      </w:r>
    </w:p>
    <w:p w14:paraId="35DA7EEA">
      <w:pPr>
        <w:spacing w:before="0" w:after="80" w:line="230" w:lineRule="auto"/>
        <w:ind w:firstLine="200"/>
        <w:jc w:val="both"/>
      </w:pPr>
      <w:r>
        <w:rPr>
          <w:rFonts w:ascii="Times New Roman" w:hAnsi="Times New Roman" w:eastAsia="Times New Roman" w:cs="Times New Roman"/>
          <w:i/>
          <w:iCs/>
          <w:sz w:val="18"/>
          <w:szCs w:val="18"/>
        </w:rPr>
        <w:t>E. Power Supply PCB</w:t>
      </w:r>
    </w:p>
    <w:p w14:paraId="775DB786">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The Power Supply PCB generates the isolated low-voltage supplies required by the control, sensing, and gate-driver circuits. An isolated DC–DC converter provides the auxiliary supply, which is subsequently regulated by a low-dropout regulator to improve voltage accuracy and reduce output ripple. Bulk energy-storage capacitors maintain supply stability during transient load conditions, while reverse-polarity protection ensures safe operation.</w:t>
      </w:r>
    </w:p>
    <w:p w14:paraId="048CF40F">
      <w:pPr>
        <w:spacing w:before="0" w:after="80" w:line="230" w:lineRule="auto"/>
        <w:ind w:firstLine="200"/>
        <w:jc w:val="both"/>
        <w:rPr>
          <w:rFonts w:ascii="Times New Roman" w:hAnsi="Times New Roman" w:eastAsia="Times New Roman" w:cs="Times New Roman"/>
          <w:b w:val="0"/>
          <w:bCs w:val="0"/>
          <w:i w:val="0"/>
          <w:iCs w:val="0"/>
          <w:sz w:val="18"/>
          <w:szCs w:val="18"/>
          <w:woUserID w:val="1"/>
        </w:rPr>
      </w:pPr>
      <w:r>
        <w:rPr>
          <w:rFonts w:ascii="Times New Roman" w:hAnsi="Times New Roman" w:eastAsia="Times New Roman" w:cs="Times New Roman"/>
          <w:b w:val="0"/>
          <w:bCs w:val="0"/>
          <w:i w:val="0"/>
          <w:iCs w:val="0"/>
          <w:sz w:val="18"/>
          <w:szCs w:val="18"/>
          <w:woUserID w:val="1"/>
        </w:rPr>
        <w:t>Electrical isolation between the power stage and the control circuitry prevents high-frequency switching noise from propagating into the low-voltage domain, thereby improving measurement accuracy and controller reliability. The PCB also includes power-status indicators that simplify system verification during hardware commissioning.</w:t>
      </w:r>
    </w:p>
    <w:p w14:paraId="7F4A487C">
      <w:pPr>
        <w:pBdr>
          <w:top w:val="single" w:color="999999" w:sz="4" w:space="0"/>
          <w:left w:val="single" w:color="999999" w:sz="4" w:space="0"/>
          <w:bottom w:val="none" w:color="999999" w:sz="0" w:space="0"/>
          <w:right w:val="single" w:color="999999" w:sz="4" w:space="0"/>
        </w:pBdr>
        <w:spacing w:before="100" w:after="0"/>
        <w:rPr>
          <w:rFonts w:hint="default"/>
          <w:lang w:val="en"/>
        </w:rPr>
      </w:pPr>
    </w:p>
    <w:p w14:paraId="2CEE5BF1">
      <w:pPr>
        <w:pBdr>
          <w:top w:val="none" w:color="999999" w:sz="0" w:space="0"/>
          <w:left w:val="single" w:color="999999" w:sz="4" w:space="0"/>
          <w:bottom w:val="none" w:color="999999" w:sz="0" w:space="0"/>
          <w:right w:val="single" w:color="999999" w:sz="4" w:space="0"/>
        </w:pBdr>
        <w:spacing w:before="100" w:after="0"/>
        <w:rPr>
          <w:rFonts w:hint="default"/>
          <w:lang w:val="en"/>
          <w:woUserID w:val="1"/>
        </w:rPr>
      </w:pPr>
      <w:r>
        <w:rPr>
          <w:rFonts w:hint="default"/>
          <w:lang w:val="en"/>
          <w:woUserID w:val="1"/>
        </w:rPr>
        <w:drawing>
          <wp:inline distT="0" distB="0" distL="114300" distR="114300">
            <wp:extent cx="3191510" cy="1934210"/>
            <wp:effectExtent l="0" t="0" r="889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3191510" cy="1934210"/>
                    </a:xfrm>
                    <a:prstGeom prst="rect">
                      <a:avLst/>
                    </a:prstGeom>
                  </pic:spPr>
                </pic:pic>
              </a:graphicData>
            </a:graphic>
          </wp:inline>
        </w:drawing>
      </w:r>
    </w:p>
    <w:p w14:paraId="41AD66E0">
      <w:pPr>
        <w:pBdr>
          <w:top w:val="none" w:color="999999" w:sz="0"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81350" cy="1988185"/>
            <wp:effectExtent l="0" t="0" r="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8"/>
                    <a:stretch>
                      <a:fillRect/>
                    </a:stretch>
                  </pic:blipFill>
                  <pic:spPr>
                    <a:xfrm>
                      <a:off x="0" y="0"/>
                      <a:ext cx="3181350" cy="1988185"/>
                    </a:xfrm>
                    <a:prstGeom prst="rect">
                      <a:avLst/>
                    </a:prstGeom>
                  </pic:spPr>
                </pic:pic>
              </a:graphicData>
            </a:graphic>
          </wp:inline>
        </w:drawing>
      </w:r>
    </w:p>
    <w:p w14:paraId="0AB9E280">
      <w:pPr>
        <w:pBdr>
          <w:top w:val="none" w:color="999999" w:sz="0" w:space="0"/>
          <w:left w:val="single" w:color="999999" w:sz="4" w:space="0"/>
          <w:bottom w:val="none" w:color="999999" w:sz="0" w:space="0"/>
          <w:right w:val="single" w:color="999999" w:sz="4" w:space="0"/>
        </w:pBdr>
        <w:spacing w:before="100" w:after="0"/>
        <w:rPr>
          <w:rFonts w:hint="default"/>
          <w:lang w:val="en"/>
        </w:rPr>
      </w:pPr>
      <w:r>
        <w:rPr>
          <w:rFonts w:hint="default"/>
          <w:lang w:val="en"/>
        </w:rPr>
        <w:drawing>
          <wp:inline distT="0" distB="0" distL="114300" distR="114300">
            <wp:extent cx="3177540" cy="162941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9"/>
                    <a:stretch>
                      <a:fillRect/>
                    </a:stretch>
                  </pic:blipFill>
                  <pic:spPr>
                    <a:xfrm>
                      <a:off x="0" y="0"/>
                      <a:ext cx="3177540" cy="1629410"/>
                    </a:xfrm>
                    <a:prstGeom prst="rect">
                      <a:avLst/>
                    </a:prstGeom>
                  </pic:spPr>
                </pic:pic>
              </a:graphicData>
            </a:graphic>
          </wp:inline>
        </w:drawing>
      </w:r>
    </w:p>
    <w:p w14:paraId="19FCF243">
      <w:pPr>
        <w:pBdr>
          <w:top w:val="none" w:color="999999" w:sz="0" w:space="0"/>
          <w:left w:val="single" w:color="999999" w:sz="4" w:space="0"/>
          <w:bottom w:val="single" w:color="999999" w:sz="4" w:space="0"/>
          <w:right w:val="single" w:color="999999" w:sz="4" w:space="0"/>
        </w:pBdr>
        <w:spacing w:before="100" w:after="0"/>
        <w:rPr>
          <w:rFonts w:hint="default"/>
          <w:lang w:val="en"/>
        </w:rPr>
      </w:pPr>
      <w:r>
        <w:rPr>
          <w:rFonts w:hint="default"/>
          <w:lang w:val="en"/>
        </w:rPr>
        <w:drawing>
          <wp:inline distT="0" distB="0" distL="114300" distR="114300">
            <wp:extent cx="3190240" cy="751205"/>
            <wp:effectExtent l="0" t="0" r="10160" b="1079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a:stretch>
                      <a:fillRect/>
                    </a:stretch>
                  </pic:blipFill>
                  <pic:spPr>
                    <a:xfrm>
                      <a:off x="0" y="0"/>
                      <a:ext cx="3190240" cy="751205"/>
                    </a:xfrm>
                    <a:prstGeom prst="rect">
                      <a:avLst/>
                    </a:prstGeom>
                  </pic:spPr>
                </pic:pic>
              </a:graphicData>
            </a:graphic>
          </wp:inline>
        </w:drawing>
      </w:r>
    </w:p>
    <w:p w14:paraId="12A48822">
      <w:pPr>
        <w:spacing w:before="40" w:after="100"/>
        <w:jc w:val="center"/>
      </w:pPr>
      <w:r>
        <w:rPr>
          <w:rFonts w:ascii="Times New Roman" w:hAnsi="Times New Roman" w:eastAsia="Times New Roman" w:cs="Times New Roman"/>
          <w:b/>
          <w:bCs/>
          <w:sz w:val="16"/>
          <w:szCs w:val="16"/>
        </w:rPr>
        <w:t xml:space="preserve">Fig. 7.  </w:t>
      </w:r>
      <w:r>
        <w:rPr>
          <w:rFonts w:ascii="Times New Roman" w:hAnsi="Times New Roman" w:eastAsia="Times New Roman" w:cs="Times New Roman"/>
          <w:i/>
          <w:iCs/>
          <w:sz w:val="16"/>
          <w:szCs w:val="16"/>
        </w:rPr>
        <w:t xml:space="preserve">(a) </w:t>
      </w:r>
      <w:r>
        <w:rPr>
          <w:rFonts w:cs="Times New Roman"/>
          <w:i/>
          <w:iCs/>
          <w:sz w:val="16"/>
          <w:szCs w:val="16"/>
          <w:lang w:val="en"/>
          <w:woUserID w:val="1"/>
        </w:rPr>
        <w:t>Input(left)and outputi(right) voltage sensing</w:t>
      </w:r>
      <w:r>
        <w:rPr>
          <w:rFonts w:ascii="Times New Roman" w:hAnsi="Times New Roman" w:eastAsia="Times New Roman" w:cs="Times New Roman"/>
          <w:i/>
          <w:iCs/>
          <w:sz w:val="16"/>
          <w:szCs w:val="16"/>
        </w:rPr>
        <w:t xml:space="preserve">; (b) </w:t>
      </w:r>
      <w:r>
        <w:rPr>
          <w:rFonts w:cs="Times New Roman"/>
          <w:i/>
          <w:iCs/>
          <w:sz w:val="16"/>
          <w:szCs w:val="16"/>
          <w:lang w:val="en"/>
          <w:woUserID w:val="1"/>
        </w:rPr>
        <w:t>Inductor current sensing</w:t>
      </w:r>
      <w:r>
        <w:rPr>
          <w:rFonts w:ascii="Times New Roman" w:hAnsi="Times New Roman" w:eastAsia="Times New Roman" w:cs="Times New Roman"/>
          <w:i/>
          <w:iCs/>
          <w:sz w:val="16"/>
          <w:szCs w:val="16"/>
        </w:rPr>
        <w:t xml:space="preserve">; (c) </w:t>
      </w:r>
      <w:r>
        <w:rPr>
          <w:rFonts w:cs="Times New Roman"/>
          <w:i/>
          <w:iCs/>
          <w:sz w:val="16"/>
          <w:szCs w:val="16"/>
          <w:lang w:val="en"/>
          <w:woUserID w:val="1"/>
        </w:rPr>
        <w:t>12v isolated supply</w:t>
      </w:r>
      <w:r>
        <w:rPr>
          <w:rFonts w:ascii="Times New Roman" w:hAnsi="Times New Roman" w:eastAsia="Times New Roman" w:cs="Times New Roman"/>
          <w:i/>
          <w:iCs/>
          <w:sz w:val="16"/>
          <w:szCs w:val="16"/>
        </w:rPr>
        <w:t xml:space="preserve"> (d) Power Supply PCB with EJ503B isolated module.</w:t>
      </w:r>
    </w:p>
    <w:p w14:paraId="624878D8">
      <w:pPr>
        <w:spacing w:before="100" w:after="40"/>
        <w:jc w:val="center"/>
      </w:pPr>
      <w:r>
        <w:rPr>
          <w:rFonts w:ascii="Times New Roman" w:hAnsi="Times New Roman" w:eastAsia="Times New Roman" w:cs="Times New Roman"/>
          <w:b/>
          <w:bCs/>
          <w:sz w:val="16"/>
          <w:szCs w:val="16"/>
        </w:rPr>
        <w:t>TABLE VI
</w:t>
      </w:r>
      <w:r>
        <w:rPr>
          <w:rFonts w:ascii="Times New Roman" w:hAnsi="Times New Roman" w:eastAsia="Times New Roman" w:cs="Times New Roman"/>
          <w:i/>
          <w:iCs/>
          <w:sz w:val="16"/>
          <w:szCs w:val="16"/>
        </w:rPr>
        <w:t>Key Hardware Component List</w:t>
      </w:r>
    </w:p>
    <w:tbl>
      <w:tblPr>
        <w:tblStyle w:val="13"/>
        <w:tblW w:w="5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700"/>
        <w:gridCol w:w="1700"/>
      </w:tblGrid>
      <w:tr w14:paraId="40E7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E40B5C9">
            <w:pPr>
              <w:spacing w:before="0" w:after="0"/>
              <w:jc w:val="center"/>
            </w:pPr>
            <w:r>
              <w:rPr>
                <w:rFonts w:ascii="Times New Roman" w:hAnsi="Times New Roman" w:eastAsia="Times New Roman" w:cs="Times New Roman"/>
                <w:b/>
                <w:bCs/>
                <w:sz w:val="14"/>
                <w:szCs w:val="14"/>
              </w:rPr>
              <w:t>Component</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AA06496">
            <w:pPr>
              <w:spacing w:before="0" w:after="0"/>
              <w:jc w:val="center"/>
            </w:pPr>
            <w:r>
              <w:rPr>
                <w:rFonts w:ascii="Times New Roman" w:hAnsi="Times New Roman" w:eastAsia="Times New Roman" w:cs="Times New Roman"/>
                <w:b/>
                <w:bCs/>
                <w:sz w:val="14"/>
                <w:szCs w:val="14"/>
              </w:rPr>
              <w:t>Part / Value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E1407B0">
            <w:pPr>
              <w:spacing w:before="0" w:after="0"/>
              <w:jc w:val="center"/>
            </w:pPr>
            <w:r>
              <w:rPr>
                <w:rFonts w:ascii="Times New Roman" w:hAnsi="Times New Roman" w:eastAsia="Times New Roman" w:cs="Times New Roman"/>
                <w:b/>
                <w:bCs/>
                <w:sz w:val="14"/>
                <w:szCs w:val="14"/>
              </w:rPr>
              <w:t>Specification</w:t>
            </w:r>
          </w:p>
        </w:tc>
      </w:tr>
      <w:tr w14:paraId="36A77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A26C5D2">
            <w:pPr>
              <w:spacing w:before="0" w:after="0"/>
              <w:jc w:val="center"/>
            </w:pPr>
            <w:r>
              <w:rPr>
                <w:rFonts w:ascii="Times New Roman" w:hAnsi="Times New Roman" w:eastAsia="Times New Roman" w:cs="Times New Roman"/>
                <w:b w:val="0"/>
                <w:bCs w:val="0"/>
                <w:sz w:val="14"/>
                <w:szCs w:val="14"/>
              </w:rPr>
              <w:t>Primary MOSFETs (×4)</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F172C10">
            <w:pPr>
              <w:spacing w:before="0" w:after="0"/>
              <w:jc w:val="center"/>
            </w:pPr>
            <w:r>
              <w:rPr>
                <w:rFonts w:ascii="Times New Roman" w:hAnsi="Times New Roman" w:eastAsia="Times New Roman" w:cs="Times New Roman"/>
                <w:b w:val="0"/>
                <w:bCs w:val="0"/>
                <w:sz w:val="14"/>
                <w:szCs w:val="14"/>
              </w:rPr>
              <w:t>GC2M0080120D1</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A0A3963">
            <w:pPr>
              <w:spacing w:before="0" w:after="0"/>
              <w:jc w:val="center"/>
            </w:pPr>
            <w:r>
              <w:rPr>
                <w:rFonts w:ascii="Times New Roman" w:hAnsi="Times New Roman" w:eastAsia="Times New Roman" w:cs="Times New Roman"/>
                <w:b w:val="0"/>
                <w:bCs w:val="0"/>
                <w:sz w:val="14"/>
                <w:szCs w:val="14"/>
              </w:rPr>
              <w:t>1200 V, 36 A, 80 mΩ SiC</w:t>
            </w:r>
          </w:p>
        </w:tc>
      </w:tr>
      <w:tr w14:paraId="1CE76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0FAF91D">
            <w:pPr>
              <w:spacing w:before="0" w:after="0"/>
              <w:jc w:val="center"/>
            </w:pPr>
            <w:r>
              <w:rPr>
                <w:rFonts w:ascii="Times New Roman" w:hAnsi="Times New Roman" w:eastAsia="Times New Roman" w:cs="Times New Roman"/>
                <w:b w:val="0"/>
                <w:bCs w:val="0"/>
                <w:sz w:val="14"/>
                <w:szCs w:val="14"/>
              </w:rPr>
              <w:t>LLC resonant inductor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0746FCA">
            <w:pPr>
              <w:spacing w:before="0" w:after="0"/>
              <w:jc w:val="center"/>
            </w:pPr>
            <w:r>
              <w:rPr>
                <w:rFonts w:ascii="Times New Roman" w:hAnsi="Times New Roman" w:eastAsia="Times New Roman" w:cs="Times New Roman"/>
                <w:b w:val="0"/>
                <w:bCs w:val="0"/>
                <w:sz w:val="14"/>
                <w:szCs w:val="14"/>
              </w:rPr>
              <w:t>Custom, N87 ferrite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6F17956">
            <w:pPr>
              <w:spacing w:before="0" w:after="0"/>
              <w:jc w:val="center"/>
            </w:pPr>
            <w:r>
              <w:rPr>
                <w:rFonts w:ascii="Times New Roman" w:hAnsi="Times New Roman" w:eastAsia="Times New Roman" w:cs="Times New Roman"/>
                <w:b w:val="0"/>
                <w:bCs w:val="0"/>
                <w:sz w:val="14"/>
                <w:szCs w:val="14"/>
              </w:rPr>
              <w:t>200 μH, 128 kHz</w:t>
            </w:r>
          </w:p>
        </w:tc>
      </w:tr>
      <w:tr w14:paraId="7B34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AA3C264">
            <w:pPr>
              <w:spacing w:before="0" w:after="0"/>
              <w:jc w:val="center"/>
            </w:pPr>
            <w:r>
              <w:rPr>
                <w:rFonts w:ascii="Times New Roman" w:hAnsi="Times New Roman" w:eastAsia="Times New Roman" w:cs="Times New Roman"/>
                <w:b w:val="0"/>
                <w:bCs w:val="0"/>
                <w:sz w:val="14"/>
                <w:szCs w:val="14"/>
              </w:rPr>
              <w:t>LLC resonant capacitor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BC1DD44">
            <w:pPr>
              <w:spacing w:before="0" w:after="0"/>
              <w:jc w:val="center"/>
            </w:pPr>
            <w:r>
              <w:rPr>
                <w:rFonts w:ascii="Times New Roman" w:hAnsi="Times New Roman" w:eastAsia="Times New Roman" w:cs="Times New Roman"/>
                <w:b w:val="0"/>
                <w:bCs w:val="0"/>
                <w:sz w:val="14"/>
                <w:szCs w:val="14"/>
              </w:rPr>
              <w:t>Polypropylene film</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F8C55A0">
            <w:pPr>
              <w:spacing w:before="0" w:after="0"/>
              <w:jc w:val="center"/>
            </w:pPr>
            <w:r>
              <w:rPr>
                <w:rFonts w:ascii="Times New Roman" w:hAnsi="Times New Roman" w:eastAsia="Times New Roman" w:cs="Times New Roman"/>
                <w:b w:val="0"/>
                <w:bCs w:val="0"/>
                <w:sz w:val="14"/>
                <w:szCs w:val="14"/>
              </w:rPr>
              <w:t>12.6 nF, low ESR</w:t>
            </w:r>
          </w:p>
        </w:tc>
      </w:tr>
      <w:tr w14:paraId="49F6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F17DD41">
            <w:pPr>
              <w:spacing w:before="0" w:after="0"/>
              <w:jc w:val="center"/>
            </w:pPr>
            <w:r>
              <w:rPr>
                <w:rFonts w:ascii="Times New Roman" w:hAnsi="Times New Roman" w:eastAsia="Times New Roman" w:cs="Times New Roman"/>
                <w:b w:val="0"/>
                <w:bCs w:val="0"/>
                <w:sz w:val="14"/>
                <w:szCs w:val="14"/>
              </w:rPr>
              <w:t>LCC resonant inductor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5F53062">
            <w:pPr>
              <w:spacing w:before="0" w:after="0"/>
              <w:jc w:val="center"/>
            </w:pPr>
            <w:r>
              <w:rPr>
                <w:rFonts w:ascii="Times New Roman" w:hAnsi="Times New Roman" w:eastAsia="Times New Roman" w:cs="Times New Roman"/>
                <w:b w:val="0"/>
                <w:bCs w:val="0"/>
                <w:sz w:val="14"/>
                <w:szCs w:val="14"/>
              </w:rPr>
              <w:t>Custom, N87 ferrite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23ABBCD">
            <w:pPr>
              <w:spacing w:before="0" w:after="0"/>
              <w:jc w:val="center"/>
            </w:pPr>
            <w:r>
              <w:rPr>
                <w:rFonts w:ascii="Times New Roman" w:hAnsi="Times New Roman" w:eastAsia="Times New Roman" w:cs="Times New Roman"/>
                <w:b w:val="0"/>
                <w:bCs w:val="0"/>
                <w:sz w:val="14"/>
                <w:szCs w:val="14"/>
              </w:rPr>
              <w:t>50 μH, 152 kHz</w:t>
            </w:r>
          </w:p>
        </w:tc>
      </w:tr>
      <w:tr w14:paraId="7545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7405915">
            <w:pPr>
              <w:spacing w:before="0" w:after="0"/>
              <w:jc w:val="center"/>
            </w:pPr>
            <w:r>
              <w:rPr>
                <w:rFonts w:ascii="Times New Roman" w:hAnsi="Times New Roman" w:eastAsia="Times New Roman" w:cs="Times New Roman"/>
                <w:b w:val="0"/>
                <w:bCs w:val="0"/>
                <w:sz w:val="14"/>
                <w:szCs w:val="14"/>
              </w:rPr>
              <w:t>LCC resonant capacitor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800185E">
            <w:pPr>
              <w:spacing w:before="0" w:after="0"/>
              <w:jc w:val="center"/>
            </w:pPr>
            <w:r>
              <w:rPr>
                <w:rFonts w:ascii="Times New Roman" w:hAnsi="Times New Roman" w:eastAsia="Times New Roman" w:cs="Times New Roman"/>
                <w:b w:val="0"/>
                <w:bCs w:val="0"/>
                <w:sz w:val="14"/>
                <w:szCs w:val="14"/>
              </w:rPr>
              <w:t>Polypropylene film</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D76DAB4">
            <w:pPr>
              <w:spacing w:before="0" w:after="0"/>
              <w:jc w:val="center"/>
            </w:pPr>
            <w:r>
              <w:rPr>
                <w:rFonts w:ascii="Times New Roman" w:hAnsi="Times New Roman" w:eastAsia="Times New Roman" w:cs="Times New Roman"/>
                <w:b w:val="0"/>
                <w:bCs w:val="0"/>
                <w:sz w:val="14"/>
                <w:szCs w:val="14"/>
              </w:rPr>
              <w:t>47 nF</w:t>
            </w:r>
          </w:p>
        </w:tc>
      </w:tr>
      <w:tr w14:paraId="1403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FE31C02">
            <w:pPr>
              <w:spacing w:before="0" w:after="0"/>
              <w:jc w:val="center"/>
            </w:pPr>
            <w:r>
              <w:rPr>
                <w:rFonts w:ascii="Times New Roman" w:hAnsi="Times New Roman" w:eastAsia="Times New Roman" w:cs="Times New Roman"/>
                <w:b w:val="0"/>
                <w:bCs w:val="0"/>
                <w:sz w:val="14"/>
                <w:szCs w:val="14"/>
              </w:rPr>
              <w:t>LCC parallel cap, C_p</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1E4533F">
            <w:pPr>
              <w:spacing w:before="0" w:after="0"/>
              <w:jc w:val="center"/>
            </w:pPr>
            <w:r>
              <w:rPr>
                <w:rFonts w:ascii="Times New Roman" w:hAnsi="Times New Roman" w:eastAsia="Times New Roman" w:cs="Times New Roman"/>
                <w:b w:val="0"/>
                <w:bCs w:val="0"/>
                <w:sz w:val="14"/>
                <w:szCs w:val="14"/>
              </w:rPr>
              <w:t>Polypropylene film</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9DA02E8">
            <w:pPr>
              <w:spacing w:before="0" w:after="0"/>
              <w:jc w:val="center"/>
            </w:pPr>
            <w:r>
              <w:rPr>
                <w:rFonts w:ascii="Times New Roman" w:hAnsi="Times New Roman" w:eastAsia="Times New Roman" w:cs="Times New Roman"/>
                <w:b w:val="0"/>
                <w:bCs w:val="0"/>
                <w:sz w:val="14"/>
                <w:szCs w:val="14"/>
              </w:rPr>
              <w:t>68 nF</w:t>
            </w:r>
          </w:p>
        </w:tc>
      </w:tr>
      <w:tr w14:paraId="308F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F5146B7">
            <w:pPr>
              <w:spacing w:before="0" w:after="0"/>
              <w:jc w:val="center"/>
            </w:pPr>
            <w:r>
              <w:rPr>
                <w:rFonts w:ascii="Times New Roman" w:hAnsi="Times New Roman" w:eastAsia="Times New Roman" w:cs="Times New Roman"/>
                <w:b w:val="0"/>
                <w:bCs w:val="0"/>
                <w:sz w:val="14"/>
                <w:szCs w:val="14"/>
              </w:rPr>
              <w:t>LLC magnetising inductance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12DBA39">
            <w:pPr>
              <w:spacing w:before="0" w:after="0"/>
              <w:jc w:val="center"/>
            </w:pPr>
            <w:r>
              <w:rPr>
                <w:rFonts w:ascii="Times New Roman" w:hAnsi="Times New Roman" w:eastAsia="Times New Roman" w:cs="Times New Roman"/>
                <w:b w:val="0"/>
                <w:bCs w:val="0"/>
                <w:sz w:val="14"/>
                <w:szCs w:val="14"/>
              </w:rPr>
              <w:t>Inside transformer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3153D0B">
            <w:pPr>
              <w:spacing w:before="0" w:after="0"/>
              <w:jc w:val="center"/>
            </w:pPr>
            <w:r>
              <w:rPr>
                <w:rFonts w:ascii="Times New Roman" w:hAnsi="Times New Roman" w:eastAsia="Times New Roman" w:cs="Times New Roman"/>
                <w:b w:val="0"/>
                <w:bCs w:val="0"/>
                <w:sz w:val="14"/>
                <w:szCs w:val="14"/>
              </w:rPr>
              <w:t>500 μH</w:t>
            </w:r>
          </w:p>
        </w:tc>
      </w:tr>
      <w:tr w14:paraId="58F4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E51F466">
            <w:pPr>
              <w:spacing w:before="0" w:after="0"/>
              <w:jc w:val="center"/>
            </w:pPr>
            <w:r>
              <w:rPr>
                <w:rFonts w:ascii="Times New Roman" w:hAnsi="Times New Roman" w:eastAsia="Times New Roman" w:cs="Times New Roman"/>
                <w:b w:val="0"/>
                <w:bCs w:val="0"/>
                <w:sz w:val="14"/>
                <w:szCs w:val="14"/>
              </w:rPr>
              <w:t>Isolation transformer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59A9567">
            <w:pPr>
              <w:spacing w:before="0" w:after="0"/>
              <w:jc w:val="center"/>
            </w:pPr>
            <w:r>
              <w:rPr>
                <w:rFonts w:ascii="Times New Roman" w:hAnsi="Times New Roman" w:eastAsia="Times New Roman" w:cs="Times New Roman"/>
                <w:b w:val="0"/>
                <w:bCs w:val="0"/>
                <w:sz w:val="14"/>
                <w:szCs w:val="14"/>
              </w:rPr>
              <w:t>Custom, litz wire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664F573">
            <w:pPr>
              <w:spacing w:before="0" w:after="0"/>
              <w:jc w:val="center"/>
            </w:pPr>
            <w:r>
              <w:rPr>
                <w:rFonts w:ascii="Times New Roman" w:hAnsi="Times New Roman" w:eastAsia="Times New Roman" w:cs="Times New Roman"/>
                <w:b w:val="0"/>
                <w:bCs w:val="0"/>
                <w:sz w:val="14"/>
                <w:szCs w:val="14"/>
              </w:rPr>
              <w:t>n ≈ 11:1, 1 kW</w:t>
            </w:r>
          </w:p>
        </w:tc>
      </w:tr>
      <w:tr w14:paraId="2F5B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F7FC408">
            <w:pPr>
              <w:spacing w:before="0" w:after="0"/>
              <w:jc w:val="center"/>
            </w:pPr>
            <w:r>
              <w:rPr>
                <w:rFonts w:ascii="Times New Roman" w:hAnsi="Times New Roman" w:eastAsia="Times New Roman" w:cs="Times New Roman"/>
                <w:b w:val="0"/>
                <w:bCs w:val="0"/>
                <w:sz w:val="14"/>
                <w:szCs w:val="14"/>
              </w:rPr>
              <w:t>Voltage sense isolator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5E8E5AAC">
            <w:pPr>
              <w:spacing w:before="0" w:after="0"/>
              <w:jc w:val="center"/>
            </w:pPr>
            <w:r>
              <w:rPr>
                <w:rFonts w:ascii="Times New Roman" w:hAnsi="Times New Roman" w:eastAsia="Times New Roman" w:cs="Times New Roman"/>
                <w:b w:val="0"/>
                <w:bCs w:val="0"/>
                <w:sz w:val="14"/>
                <w:szCs w:val="14"/>
              </w:rPr>
              <w:t>ADUM1201</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1775C427">
            <w:pPr>
              <w:spacing w:before="0" w:after="0"/>
              <w:jc w:val="center"/>
            </w:pPr>
            <w:r>
              <w:rPr>
                <w:rFonts w:ascii="Times New Roman" w:hAnsi="Times New Roman" w:eastAsia="Times New Roman" w:cs="Times New Roman"/>
                <w:b w:val="0"/>
                <w:bCs w:val="0"/>
                <w:sz w:val="14"/>
                <w:szCs w:val="14"/>
              </w:rPr>
              <w:t>5 kV galvanic isolation</w:t>
            </w:r>
          </w:p>
        </w:tc>
      </w:tr>
      <w:tr w14:paraId="0B5C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D58FC0F">
            <w:pPr>
              <w:spacing w:before="0" w:after="0"/>
              <w:jc w:val="center"/>
            </w:pPr>
            <w:r>
              <w:rPr>
                <w:rFonts w:ascii="Times New Roman" w:hAnsi="Times New Roman" w:eastAsia="Times New Roman" w:cs="Times New Roman"/>
                <w:b w:val="0"/>
                <w:bCs w:val="0"/>
                <w:sz w:val="14"/>
                <w:szCs w:val="14"/>
              </w:rPr>
              <w:t>Current shunt resistors</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10A9A4D">
            <w:pPr>
              <w:spacing w:before="0" w:after="0"/>
              <w:jc w:val="center"/>
            </w:pPr>
            <w:r>
              <w:rPr>
                <w:rFonts w:ascii="Times New Roman" w:hAnsi="Times New Roman" w:eastAsia="Times New Roman" w:cs="Times New Roman"/>
                <w:b w:val="0"/>
                <w:bCs w:val="0"/>
                <w:sz w:val="14"/>
                <w:szCs w:val="14"/>
              </w:rPr>
              <w:t>3×47 mΩ parallel</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0746539">
            <w:pPr>
              <w:spacing w:before="0" w:after="0"/>
              <w:jc w:val="center"/>
            </w:pPr>
            <w:r>
              <w:rPr>
                <w:rFonts w:ascii="Times New Roman" w:hAnsi="Times New Roman" w:eastAsia="Times New Roman" w:cs="Times New Roman"/>
                <w:b w:val="0"/>
                <w:bCs w:val="0"/>
                <w:sz w:val="14"/>
                <w:szCs w:val="14"/>
              </w:rPr>
              <w:t>Effective 15.67 mΩ</w:t>
            </w:r>
          </w:p>
        </w:tc>
      </w:tr>
      <w:tr w14:paraId="60EA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E6E9412">
            <w:pPr>
              <w:spacing w:before="0" w:after="0"/>
              <w:jc w:val="center"/>
            </w:pPr>
            <w:r>
              <w:rPr>
                <w:rFonts w:ascii="Times New Roman" w:hAnsi="Times New Roman" w:eastAsia="Times New Roman" w:cs="Times New Roman"/>
                <w:b w:val="0"/>
                <w:bCs w:val="0"/>
                <w:sz w:val="14"/>
                <w:szCs w:val="14"/>
              </w:rPr>
              <w:t>Current sense amplifier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FB96C54">
            <w:pPr>
              <w:spacing w:before="0" w:after="0"/>
              <w:jc w:val="center"/>
            </w:pPr>
            <w:r>
              <w:rPr>
                <w:rFonts w:ascii="Times New Roman" w:hAnsi="Times New Roman" w:eastAsia="Times New Roman" w:cs="Times New Roman"/>
                <w:b w:val="0"/>
                <w:bCs w:val="0"/>
                <w:sz w:val="14"/>
                <w:szCs w:val="14"/>
              </w:rPr>
              <w:t>INA-type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48B815E">
            <w:pPr>
              <w:spacing w:before="0" w:after="0"/>
              <w:jc w:val="center"/>
            </w:pPr>
            <w:r>
              <w:rPr>
                <w:rFonts w:ascii="Times New Roman" w:hAnsi="Times New Roman" w:eastAsia="Times New Roman" w:cs="Times New Roman"/>
                <w:b w:val="0"/>
                <w:bCs w:val="0"/>
                <w:sz w:val="14"/>
                <w:szCs w:val="14"/>
              </w:rPr>
              <w:t>Gain × 2.13, 284 kHz LPF</w:t>
            </w:r>
          </w:p>
        </w:tc>
      </w:tr>
      <w:tr w14:paraId="107C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6DDF3BE">
            <w:pPr>
              <w:spacing w:before="0" w:after="0"/>
              <w:jc w:val="center"/>
            </w:pPr>
            <w:r>
              <w:rPr>
                <w:rFonts w:ascii="Times New Roman" w:hAnsi="Times New Roman" w:eastAsia="Times New Roman" w:cs="Times New Roman"/>
                <w:b w:val="0"/>
                <w:bCs w:val="0"/>
                <w:sz w:val="14"/>
                <w:szCs w:val="14"/>
              </w:rPr>
              <w:t>Aux. supply module</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6A35BAF">
            <w:pPr>
              <w:spacing w:before="0" w:after="0"/>
              <w:jc w:val="center"/>
            </w:pPr>
            <w:r>
              <w:rPr>
                <w:rFonts w:ascii="Times New Roman" w:hAnsi="Times New Roman" w:eastAsia="Times New Roman" w:cs="Times New Roman"/>
                <w:b w:val="0"/>
                <w:bCs w:val="0"/>
                <w:sz w:val="14"/>
                <w:szCs w:val="14"/>
              </w:rPr>
              <w:t>EJ503B DC-DC</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CC534CA">
            <w:pPr>
              <w:spacing w:before="0" w:after="0"/>
              <w:jc w:val="center"/>
            </w:pPr>
            <w:r>
              <w:rPr>
                <w:rFonts w:ascii="Times New Roman" w:hAnsi="Times New Roman" w:eastAsia="Times New Roman" w:cs="Times New Roman"/>
                <w:b w:val="0"/>
                <w:bCs w:val="0"/>
                <w:sz w:val="14"/>
                <w:szCs w:val="14"/>
              </w:rPr>
              <w:t>12 V isolated, 1 W</w:t>
            </w:r>
          </w:p>
        </w:tc>
      </w:tr>
      <w:tr w14:paraId="66D5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0736A15A">
            <w:pPr>
              <w:spacing w:before="0" w:after="0"/>
              <w:jc w:val="center"/>
            </w:pPr>
            <w:r>
              <w:rPr>
                <w:rFonts w:ascii="Times New Roman" w:hAnsi="Times New Roman" w:eastAsia="Times New Roman" w:cs="Times New Roman"/>
                <w:b w:val="0"/>
                <w:bCs w:val="0"/>
                <w:sz w:val="14"/>
                <w:szCs w:val="14"/>
              </w:rPr>
              <w:t>LLC output capacitor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8644DC1">
            <w:pPr>
              <w:spacing w:before="0" w:after="0"/>
              <w:jc w:val="center"/>
            </w:pPr>
            <w:r>
              <w:rPr>
                <w:rFonts w:ascii="Times New Roman" w:hAnsi="Times New Roman" w:eastAsia="Times New Roman" w:cs="Times New Roman"/>
                <w:b w:val="0"/>
                <w:bCs w:val="0"/>
                <w:sz w:val="14"/>
                <w:szCs w:val="14"/>
              </w:rPr>
              <w:t>Electrolytic</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1FB9A77">
            <w:pPr>
              <w:spacing w:before="0" w:after="0"/>
              <w:jc w:val="center"/>
            </w:pPr>
            <w:r>
              <w:rPr>
                <w:rFonts w:ascii="Times New Roman" w:hAnsi="Times New Roman" w:eastAsia="Times New Roman" w:cs="Times New Roman"/>
                <w:b w:val="0"/>
                <w:bCs w:val="0"/>
                <w:sz w:val="14"/>
                <w:szCs w:val="14"/>
              </w:rPr>
              <w:t>220 μF, 100 V</w:t>
            </w:r>
          </w:p>
        </w:tc>
      </w:tr>
      <w:tr w14:paraId="7B94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4E7655A2">
            <w:pPr>
              <w:spacing w:before="0" w:after="0"/>
              <w:jc w:val="center"/>
            </w:pPr>
            <w:r>
              <w:rPr>
                <w:rFonts w:ascii="Times New Roman" w:hAnsi="Times New Roman" w:eastAsia="Times New Roman" w:cs="Times New Roman"/>
                <w:b w:val="0"/>
                <w:bCs w:val="0"/>
                <w:sz w:val="14"/>
                <w:szCs w:val="14"/>
              </w:rPr>
              <w:t>LCC output capacitor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F8D033B">
            <w:pPr>
              <w:spacing w:before="0" w:after="0"/>
              <w:jc w:val="center"/>
            </w:pPr>
            <w:r>
              <w:rPr>
                <w:rFonts w:ascii="Times New Roman" w:hAnsi="Times New Roman" w:eastAsia="Times New Roman" w:cs="Times New Roman"/>
                <w:b w:val="0"/>
                <w:bCs w:val="0"/>
                <w:sz w:val="14"/>
                <w:szCs w:val="14"/>
              </w:rPr>
              <w:t>Electrolytic</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448EF84">
            <w:pPr>
              <w:spacing w:before="0" w:after="0"/>
              <w:jc w:val="center"/>
            </w:pPr>
            <w:r>
              <w:rPr>
                <w:rFonts w:ascii="Times New Roman" w:hAnsi="Times New Roman" w:eastAsia="Times New Roman" w:cs="Times New Roman"/>
                <w:b w:val="0"/>
                <w:bCs w:val="0"/>
                <w:sz w:val="14"/>
                <w:szCs w:val="14"/>
              </w:rPr>
              <w:t>2200 μF, 100 V</w:t>
            </w:r>
          </w:p>
        </w:tc>
      </w:tr>
      <w:tr w14:paraId="69D6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70FD0D80">
            <w:pPr>
              <w:spacing w:before="0" w:after="0"/>
              <w:jc w:val="center"/>
            </w:pPr>
            <w:r>
              <w:rPr>
                <w:rFonts w:ascii="Times New Roman" w:hAnsi="Times New Roman" w:eastAsia="Times New Roman" w:cs="Times New Roman"/>
                <w:b w:val="0"/>
                <w:bCs w:val="0"/>
                <w:sz w:val="14"/>
                <w:szCs w:val="14"/>
              </w:rPr>
              <w:t>DC-link capacitors</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71A1B62">
            <w:pPr>
              <w:spacing w:before="0" w:after="0"/>
              <w:jc w:val="center"/>
            </w:pPr>
            <w:r>
              <w:rPr>
                <w:rFonts w:ascii="Times New Roman" w:hAnsi="Times New Roman" w:eastAsia="Times New Roman" w:cs="Times New Roman"/>
                <w:b w:val="0"/>
                <w:bCs w:val="0"/>
                <w:sz w:val="14"/>
                <w:szCs w:val="14"/>
              </w:rPr>
              <w:t>Electrolytic</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3968827E">
            <w:pPr>
              <w:spacing w:before="0" w:after="0"/>
              <w:jc w:val="center"/>
            </w:pPr>
            <w:r>
              <w:rPr>
                <w:rFonts w:ascii="Times New Roman" w:hAnsi="Times New Roman" w:eastAsia="Times New Roman" w:cs="Times New Roman"/>
                <w:b w:val="0"/>
                <w:bCs w:val="0"/>
                <w:sz w:val="14"/>
                <w:szCs w:val="14"/>
              </w:rPr>
              <w:t>100 μF, 400 V each</w:t>
            </w:r>
          </w:p>
        </w:tc>
      </w:tr>
      <w:tr w14:paraId="19A8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A20F79A">
            <w:pPr>
              <w:spacing w:before="0" w:after="0"/>
              <w:jc w:val="center"/>
            </w:pPr>
            <w:r>
              <w:rPr>
                <w:rFonts w:ascii="Times New Roman" w:hAnsi="Times New Roman" w:eastAsia="Times New Roman" w:cs="Times New Roman"/>
                <w:b w:val="0"/>
                <w:bCs w:val="0"/>
                <w:sz w:val="14"/>
                <w:szCs w:val="14"/>
              </w:rPr>
              <w:t>Input protection varistor</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2D409FC7">
            <w:pPr>
              <w:spacing w:before="0" w:after="0"/>
              <w:jc w:val="center"/>
            </w:pPr>
            <w:r>
              <w:rPr>
                <w:rFonts w:ascii="Times New Roman" w:hAnsi="Times New Roman" w:eastAsia="Times New Roman" w:cs="Times New Roman"/>
                <w:b w:val="0"/>
                <w:bCs w:val="0"/>
                <w:sz w:val="14"/>
                <w:szCs w:val="14"/>
              </w:rPr>
              <w:t>S10K275E2</w:t>
            </w:r>
          </w:p>
        </w:tc>
        <w:tc>
          <w:tcPr>
            <w:tcW w:w="1700" w:type="dxa"/>
            <w:tcBorders>
              <w:top w:val="single" w:color="000000" w:sz="4" w:space="0"/>
              <w:left w:val="single" w:color="000000" w:sz="4" w:space="0"/>
              <w:bottom w:val="single" w:color="000000" w:sz="4" w:space="0"/>
              <w:right w:val="single" w:color="000000" w:sz="4" w:space="0"/>
            </w:tcBorders>
            <w:tcMar>
              <w:top w:w="30" w:type="dxa"/>
              <w:left w:w="50" w:type="dxa"/>
              <w:bottom w:w="30" w:type="dxa"/>
              <w:right w:w="50" w:type="dxa"/>
            </w:tcMar>
          </w:tcPr>
          <w:p w14:paraId="68F572B6">
            <w:pPr>
              <w:spacing w:before="0" w:after="0"/>
              <w:jc w:val="center"/>
            </w:pPr>
            <w:r>
              <w:rPr>
                <w:rFonts w:ascii="Times New Roman" w:hAnsi="Times New Roman" w:eastAsia="Times New Roman" w:cs="Times New Roman"/>
                <w:b w:val="0"/>
                <w:bCs w:val="0"/>
                <w:sz w:val="14"/>
                <w:szCs w:val="14"/>
              </w:rPr>
              <w:t>275 V AC surge clamp</w:t>
            </w:r>
          </w:p>
        </w:tc>
      </w:tr>
    </w:tbl>
    <w:p w14:paraId="0060A10B">
      <w:pPr>
        <w:spacing w:before="160" w:after="80"/>
        <w:jc w:val="center"/>
        <w:rPr>
          <w:rFonts w:ascii="Times New Roman" w:hAnsi="Times New Roman" w:eastAsia="Times New Roman" w:cs="Times New Roman"/>
          <w:b/>
          <w:bCs/>
          <w:sz w:val="18"/>
          <w:szCs w:val="18"/>
        </w:rPr>
      </w:pPr>
    </w:p>
    <w:p w14:paraId="58C196FD">
      <w:pPr>
        <w:spacing w:before="160" w:after="80"/>
        <w:jc w:val="center"/>
      </w:pPr>
      <w:r>
        <w:rPr>
          <w:rFonts w:ascii="Times New Roman" w:hAnsi="Times New Roman" w:eastAsia="Times New Roman" w:cs="Times New Roman"/>
          <w:b/>
          <w:bCs/>
          <w:sz w:val="18"/>
          <w:szCs w:val="18"/>
        </w:rPr>
        <w:t>VIII. CONCLUSION</w:t>
      </w:r>
    </w:p>
    <w:p w14:paraId="3E4D6F34">
      <w:pPr>
        <w:spacing w:before="0" w:after="80" w:line="230" w:lineRule="auto"/>
        <w:ind w:firstLine="200"/>
        <w:jc w:val="both"/>
      </w:pPr>
      <w:r>
        <w:rPr>
          <w:rFonts w:ascii="Times New Roman" w:hAnsi="Times New Roman" w:eastAsia="Times New Roman" w:cs="Times New Roman"/>
          <w:b w:val="0"/>
          <w:bCs w:val="0"/>
          <w:i w:val="0"/>
          <w:iCs w:val="0"/>
          <w:sz w:val="18"/>
          <w:szCs w:val="18"/>
        </w:rPr>
        <w:t>This paper presented a unified design, simulation, mathematical modelling, closed-loop control, and hardware architecture study of four full-bridge isolated resonant DC–DC converters—SRC, PRC, LLC, and LCC—for a 560 V/51 V/1 kW DC microgrid power supply. FHA-based analytical gain derivations and explicit numerical design procedures were developed for all four topologies, with ZVS boundary conditions verified by MATLAB/Simulink waveform analysis and the inductive-mode dead-time mechanism characterised in detail.</w:t>
      </w:r>
    </w:p>
    <w:p w14:paraId="320B7274">
      <w:pPr>
        <w:spacing w:before="0" w:after="80" w:line="230" w:lineRule="auto"/>
        <w:ind w:firstLine="200"/>
        <w:jc w:val="both"/>
      </w:pPr>
      <w:r>
        <w:rPr>
          <w:rFonts w:ascii="Times New Roman" w:hAnsi="Times New Roman" w:eastAsia="Times New Roman" w:cs="Times New Roman"/>
          <w:b w:val="0"/>
          <w:bCs w:val="0"/>
          <w:i w:val="0"/>
          <w:iCs w:val="0"/>
          <w:sz w:val="18"/>
          <w:szCs w:val="18"/>
        </w:rPr>
        <w:t>A complete fourth-order large-signal state-space model was derived from KVL/KCL for the LLC topology, with state variables x = [i_r, v_c, i_m, v_o]ᵀ capturing the full converter dynamics. Linearisation produced the control-oriented small-signal frequency-to-output transfer function G_{vf}(s), whose Bode plot (GM = 36.6 dB, PM = 0.126°) confirmed marginal open-loop stability and established the necessity of PI control with hard frequency-saturation limits for stable closed-loop operation.</w:t>
      </w:r>
    </w:p>
    <w:p w14:paraId="7BC347F9">
      <w:pPr>
        <w:spacing w:before="0" w:after="80" w:line="230" w:lineRule="auto"/>
        <w:ind w:firstLine="200"/>
        <w:jc w:val="both"/>
      </w:pPr>
      <w:r>
        <w:rPr>
          <w:rFonts w:ascii="Times New Roman" w:hAnsi="Times New Roman" w:eastAsia="Times New Roman" w:cs="Times New Roman"/>
          <w:b w:val="0"/>
          <w:bCs w:val="0"/>
          <w:i w:val="0"/>
          <w:iCs w:val="0"/>
          <w:sz w:val="18"/>
          <w:szCs w:val="18"/>
        </w:rPr>
        <w:t>A critical practical finding was that operating at a fixed switching frequency causes efficiency collapse at light load—from 87% at heavy load to 44% at light load—due to the converter drifting into capacitive-mode operation below resonance. Closed-loop frequency-modulated PI control (K_p = 15{,}000, K_i = 4×10⁶ for LLC; K_p = 14{,}000, K_i = 3×10⁶ for LCC) implemented via a VCO architecture fully resolves this issue, achieving stable 51 V regulation across a ±22% setpoint range with ZVS maintained throughout all transients.</w:t>
      </w:r>
    </w:p>
    <w:p w14:paraId="0799194C">
      <w:pPr>
        <w:spacing w:before="0" w:after="80" w:line="230" w:lineRule="auto"/>
        <w:ind w:firstLine="200"/>
        <w:jc w:val="both"/>
      </w:pPr>
      <w:r>
        <w:rPr>
          <w:rFonts w:ascii="Times New Roman" w:hAnsi="Times New Roman" w:eastAsia="Times New Roman" w:cs="Times New Roman"/>
          <w:b w:val="0"/>
          <w:bCs w:val="0"/>
          <w:i w:val="0"/>
          <w:iCs w:val="0"/>
          <w:sz w:val="18"/>
          <w:szCs w:val="18"/>
        </w:rPr>
        <w:t>The comparative efficiency study confirms the LLC as the preferred topology: 97.74% theoretical efficiency at rated load versus 89.83% for the SRC and 87.80% for the PRC, with excellent light-load efficiency maintained by the continuously circulating magnetising current. The four-PCB hardware design incorporating SiC MOSFETs, multi-domain galvanic isolation, zero-crossing detection, and an isolated auxiliary supply provides a robust and well-instrumented path to experimental validation.</w:t>
      </w:r>
    </w:p>
    <w:p w14:paraId="1B85B885">
      <w:pPr>
        <w:spacing w:before="0" w:after="80" w:line="230" w:lineRule="auto"/>
        <w:ind w:firstLine="200"/>
        <w:jc w:val="both"/>
      </w:pPr>
      <w:r>
        <w:rPr>
          <w:rFonts w:ascii="Times New Roman" w:hAnsi="Times New Roman" w:eastAsia="Times New Roman" w:cs="Times New Roman"/>
          <w:b w:val="0"/>
          <w:bCs w:val="0"/>
          <w:i w:val="0"/>
          <w:iCs w:val="0"/>
          <w:sz w:val="18"/>
          <w:szCs w:val="18"/>
        </w:rPr>
        <w:t>Future work will focus on: (i) experimental hardware bring-up and direct efficiency measurement benchmarked against FHA predictions; (ii) adaptive dead-time control using the zero-crossing detector output to dynamically optimise ZVS margin across load; (iii) burst-mode or pulse-frequency-modulation operation for improved light-load efficiency; and (iv) extension of the framework to bidirectional Dual Active Bridge topologies for vehicle-to-grid-capable DC microgrid applications.</w:t>
      </w:r>
    </w:p>
    <w:p w14:paraId="22D7393B">
      <w:pPr>
        <w:spacing w:before="160" w:after="80"/>
        <w:jc w:val="center"/>
      </w:pPr>
      <w:r>
        <w:rPr>
          <w:rFonts w:ascii="Times New Roman" w:hAnsi="Times New Roman" w:eastAsia="Times New Roman" w:cs="Times New Roman"/>
          <w:b/>
          <w:bCs/>
          <w:sz w:val="18"/>
          <w:szCs w:val="18"/>
        </w:rPr>
        <w:t>REFERENCES</w:t>
      </w:r>
    </w:p>
    <w:p w14:paraId="5B39C3D3">
      <w:pPr>
        <w:spacing w:before="0" w:after="30" w:line="220" w:lineRule="auto"/>
        <w:ind w:left="200" w:hanging="200"/>
        <w:jc w:val="both"/>
      </w:pPr>
      <w:r>
        <w:rPr>
          <w:rFonts w:ascii="Times New Roman" w:hAnsi="Times New Roman" w:eastAsia="Times New Roman" w:cs="Times New Roman"/>
          <w:sz w:val="16"/>
          <w:szCs w:val="16"/>
        </w:rPr>
        <w:t>[1]  Texas Instruments, "TIDA-010054: Bidirectional Dual Active Bridge Reference Design for Level 3 EV Charging Stations," Design Guide, 2020.</w:t>
      </w:r>
    </w:p>
    <w:p w14:paraId="129CE2E8">
      <w:pPr>
        <w:spacing w:before="0" w:after="30" w:line="220" w:lineRule="auto"/>
        <w:ind w:left="200" w:hanging="200"/>
        <w:jc w:val="both"/>
      </w:pPr>
      <w:r>
        <w:rPr>
          <w:rFonts w:ascii="Times New Roman" w:hAnsi="Times New Roman" w:eastAsia="Times New Roman" w:cs="Times New Roman"/>
          <w:sz w:val="16"/>
          <w:szCs w:val="16"/>
        </w:rPr>
        <w:t>[2]  Texas Instruments, "TIDA-01407: Automotive 400-W 48-V to 12-V Output Power Reference Design," TI Designs, 2018.</w:t>
      </w:r>
    </w:p>
    <w:p w14:paraId="77FEA070">
      <w:pPr>
        <w:spacing w:before="0" w:after="30" w:line="220" w:lineRule="auto"/>
        <w:ind w:left="200" w:hanging="200"/>
        <w:jc w:val="both"/>
      </w:pPr>
      <w:r>
        <w:rPr>
          <w:rFonts w:ascii="Times New Roman" w:hAnsi="Times New Roman" w:eastAsia="Times New Roman" w:cs="Times New Roman"/>
          <w:sz w:val="16"/>
          <w:szCs w:val="16"/>
        </w:rPr>
        <w:t>[3]  Texas Instruments, "Voltage-Fed Full-Bridge DC–DC and DC–AC Converter for High-Frequency Inverter Using C2000," Application Report, 2016.</w:t>
      </w:r>
    </w:p>
    <w:p w14:paraId="0114D9A1">
      <w:pPr>
        <w:spacing w:before="0" w:after="30" w:line="220" w:lineRule="auto"/>
        <w:ind w:left="200" w:hanging="200"/>
        <w:jc w:val="both"/>
      </w:pPr>
      <w:r>
        <w:rPr>
          <w:rFonts w:ascii="Times New Roman" w:hAnsi="Times New Roman" w:eastAsia="Times New Roman" w:cs="Times New Roman"/>
          <w:sz w:val="16"/>
          <w:szCs w:val="16"/>
        </w:rPr>
        <w:t>[4]  S. Abdel-Rahman, "Resonant LLC Converter: Operation and Design — 250 W 33 V In / 400 V Out Design Example," Infineon Technologies Application Note AN 2012-09, Sep. 2012.</w:t>
      </w:r>
    </w:p>
    <w:p w14:paraId="14CC3CAD">
      <w:pPr>
        <w:spacing w:before="0" w:after="30" w:line="220" w:lineRule="auto"/>
        <w:ind w:left="200" w:hanging="200"/>
        <w:jc w:val="both"/>
      </w:pPr>
      <w:r>
        <w:rPr>
          <w:rFonts w:ascii="Times New Roman" w:hAnsi="Times New Roman" w:eastAsia="Times New Roman" w:cs="Times New Roman"/>
          <w:sz w:val="16"/>
          <w:szCs w:val="16"/>
        </w:rPr>
        <w:t>[5]  A. Jain, "LCC Resonant Converter Design and Transfer Function Computation Using FHA Analysis," in Proc. 4th Biennial Int. Conf. Nascent Technol. Eng. (ICNTE), 2021.</w:t>
      </w:r>
    </w:p>
    <w:p w14:paraId="55F75EC5">
      <w:pPr>
        <w:spacing w:before="0" w:after="30" w:line="220" w:lineRule="auto"/>
        <w:ind w:left="200" w:hanging="200"/>
        <w:jc w:val="both"/>
      </w:pPr>
      <w:r>
        <w:rPr>
          <w:rFonts w:ascii="Times New Roman" w:hAnsi="Times New Roman" w:eastAsia="Times New Roman" w:cs="Times New Roman"/>
          <w:sz w:val="16"/>
          <w:szCs w:val="16"/>
        </w:rPr>
        <w:t>[6]  C. Zhao, X. Wu, and Z. Qian, "Design and Comparison of Two Front-End DC/DC Converters: LLC Resonant Converter and Soft-Switched Phase-Shifted Full-Bridge Converter," in Proc. IEEE APEC, 2009, pp. 300–306.</w:t>
      </w:r>
    </w:p>
    <w:p w14:paraId="1F84C0AE">
      <w:pPr>
        <w:spacing w:before="0" w:after="30" w:line="220" w:lineRule="auto"/>
        <w:ind w:left="200" w:hanging="200"/>
        <w:jc w:val="both"/>
      </w:pPr>
      <w:r>
        <w:rPr>
          <w:rFonts w:ascii="Times New Roman" w:hAnsi="Times New Roman" w:eastAsia="Times New Roman" w:cs="Times New Roman"/>
          <w:sz w:val="16"/>
          <w:szCs w:val="16"/>
        </w:rPr>
        <w:t>[7]  T. Mishima, H. Mizutani, and M. Nakaoka, "A Sensitivity-Improved PFM LLC Resonant Full-Bridge DC–DC Converter With LC Anti-Resonant Circuitry," IEEE Trans. Power Electron., vol. 32, no. 1, pp. 310–324, Jan. 2017.</w:t>
      </w:r>
    </w:p>
    <w:p w14:paraId="214CDA25">
      <w:pPr>
        <w:spacing w:before="0" w:after="30" w:line="220" w:lineRule="auto"/>
        <w:ind w:left="200" w:hanging="200"/>
        <w:jc w:val="both"/>
      </w:pPr>
      <w:r>
        <w:rPr>
          <w:rFonts w:ascii="Times New Roman" w:hAnsi="Times New Roman" w:eastAsia="Times New Roman" w:cs="Times New Roman"/>
          <w:sz w:val="16"/>
          <w:szCs w:val="16"/>
        </w:rPr>
        <w:t>[8]  X. Fang, H. Hu, Z. J. Shen, and I. Batarseh, "Operation Mode Analysis and Peak Gain Approximation of the LLC Resonant Converter," IEEE Trans. Power Electron., vol. 27, no. 4, pp. 1985–1995, Apr. 2012.</w:t>
      </w:r>
    </w:p>
    <w:p w14:paraId="6FDD13C3">
      <w:pPr>
        <w:spacing w:before="0" w:after="30" w:line="220" w:lineRule="auto"/>
        <w:ind w:left="200" w:hanging="200"/>
        <w:jc w:val="both"/>
      </w:pPr>
      <w:r>
        <w:rPr>
          <w:rFonts w:ascii="Times New Roman" w:hAnsi="Times New Roman" w:eastAsia="Times New Roman" w:cs="Times New Roman"/>
          <w:sz w:val="16"/>
          <w:szCs w:val="16"/>
        </w:rPr>
        <w:t>[9]  V. Esteve et al., "Improving the Reliability of Series Resonant Inverters for Induction Heating Applications," IEEE Trans. Ind. Electron., vol. 61, no. 5, pp. 2564–2572, May 2014.</w:t>
      </w:r>
    </w:p>
    <w:p w14:paraId="0AC891BF">
      <w:pPr>
        <w:spacing w:before="0" w:after="30" w:line="220" w:lineRule="auto"/>
        <w:ind w:left="200" w:hanging="200"/>
        <w:jc w:val="both"/>
      </w:pPr>
      <w:r>
        <w:rPr>
          <w:rFonts w:ascii="Times New Roman" w:hAnsi="Times New Roman" w:eastAsia="Times New Roman" w:cs="Times New Roman"/>
          <w:sz w:val="16"/>
          <w:szCs w:val="16"/>
        </w:rPr>
        <w:t>[10] B. Yang, F. C. Lee, A. J. Zhang, and G. Huang, "LLC Resonant Converter for Front End DC/DC Conversion," in Proc. IEEE APEC, 2002, pp. 1108–1112.</w:t>
      </w:r>
    </w:p>
    <w:p w14:paraId="055192F7">
      <w:pPr>
        <w:spacing w:before="0" w:after="30" w:line="220" w:lineRule="auto"/>
        <w:ind w:left="200" w:hanging="200"/>
        <w:jc w:val="both"/>
      </w:pPr>
      <w:r>
        <w:rPr>
          <w:rFonts w:ascii="Times New Roman" w:hAnsi="Times New Roman" w:eastAsia="Times New Roman" w:cs="Times New Roman"/>
          <w:sz w:val="16"/>
          <w:szCs w:val="16"/>
        </w:rPr>
        <w:t>[11] O. Lucia et al., "Series Resonant Multi-Inverter With Discontinuous-Mode Control for Improved Light-Load Operation," IEEE Trans. Ind. Electron., vol. 58, no. 11, pp. 5163–5171, Nov. 2011.</w:t>
      </w:r>
    </w:p>
    <w:p w14:paraId="25769599">
      <w:pPr>
        <w:spacing w:before="0" w:after="30" w:line="220" w:lineRule="auto"/>
        <w:ind w:left="200" w:hanging="200"/>
        <w:jc w:val="both"/>
        <w:rPr>
          <w:rFonts w:ascii="Times New Roman" w:hAnsi="Times New Roman" w:eastAsia="Times New Roman" w:cs="Times New Roman"/>
          <w:sz w:val="16"/>
          <w:szCs w:val="16"/>
        </w:rPr>
      </w:pPr>
      <w:r>
        <w:rPr>
          <w:rFonts w:ascii="Times New Roman" w:hAnsi="Times New Roman" w:eastAsia="Times New Roman" w:cs="Times New Roman"/>
          <w:sz w:val="16"/>
          <w:szCs w:val="16"/>
        </w:rPr>
        <w:t>[12] R. Yu, G. K. H. Pang, and A. Prodic, "Online Efficiency Optimization of a DSP-Based LLC Resonant Converter," IEEE Trans. Power Electron., vol. 32, no. 2, pp. 1242–1252, Feb. 2017.</w:t>
      </w:r>
    </w:p>
    <w:p w14:paraId="49D94532">
      <w:pPr>
        <w:spacing w:before="0" w:after="30" w:line="220" w:lineRule="auto"/>
        <w:ind w:left="200" w:hanging="200"/>
        <w:jc w:val="both"/>
        <w:rPr>
          <w:rFonts w:ascii="Times New Roman" w:hAnsi="Times New Roman" w:eastAsia="Times New Roman" w:cs="Times New Roman"/>
          <w:sz w:val="16"/>
          <w:szCs w:val="16"/>
        </w:rPr>
      </w:pPr>
    </w:p>
    <w:p w14:paraId="54BF4AC1">
      <w:pPr>
        <w:spacing w:before="0" w:after="30" w:line="220" w:lineRule="auto"/>
        <w:ind w:left="200" w:hanging="200"/>
        <w:jc w:val="both"/>
        <w:rPr>
          <w:rFonts w:ascii="Times New Roman" w:hAnsi="Times New Roman" w:eastAsia="Times New Roman" w:cs="Times New Roman"/>
          <w:sz w:val="16"/>
          <w:szCs w:val="16"/>
        </w:rPr>
      </w:pPr>
    </w:p>
    <w:p w14:paraId="3DBCA11A">
      <w:pPr>
        <w:spacing w:before="0" w:after="30" w:line="220" w:lineRule="auto"/>
        <w:ind w:left="200" w:hanging="200"/>
        <w:jc w:val="both"/>
        <w:rPr>
          <w:rFonts w:ascii="Times New Roman" w:hAnsi="Times New Roman" w:eastAsia="Times New Roman" w:cs="Times New Roman"/>
          <w:sz w:val="16"/>
          <w:szCs w:val="16"/>
        </w:rPr>
      </w:pPr>
    </w:p>
    <w:p w14:paraId="5D79F6F9">
      <w:pPr>
        <w:spacing w:before="0" w:after="30" w:line="220" w:lineRule="auto"/>
        <w:ind w:left="200" w:hanging="200"/>
        <w:jc w:val="both"/>
        <w:rPr>
          <w:rFonts w:ascii="Times New Roman" w:hAnsi="Times New Roman" w:eastAsia="Times New Roman" w:cs="Times New Roman"/>
          <w:sz w:val="16"/>
          <w:szCs w:val="16"/>
        </w:rPr>
      </w:pPr>
    </w:p>
    <w:p w14:paraId="502A9A8B">
      <w:pPr>
        <w:spacing w:before="0" w:after="30" w:line="220" w:lineRule="auto"/>
        <w:ind w:left="200" w:hanging="200"/>
        <w:jc w:val="both"/>
        <w:rPr>
          <w:rFonts w:ascii="Times New Roman" w:hAnsi="Times New Roman" w:eastAsia="Times New Roman" w:cs="Times New Roman"/>
          <w:sz w:val="16"/>
          <w:szCs w:val="16"/>
        </w:rPr>
      </w:pPr>
    </w:p>
    <w:p w14:paraId="23A8C20C">
      <w:pPr>
        <w:spacing w:before="0" w:after="30" w:line="220" w:lineRule="auto"/>
        <w:ind w:left="200" w:hanging="200"/>
        <w:jc w:val="both"/>
        <w:rPr>
          <w:rFonts w:ascii="Times New Roman" w:hAnsi="Times New Roman" w:eastAsia="Times New Roman" w:cs="Times New Roman"/>
          <w:sz w:val="16"/>
          <w:szCs w:val="16"/>
        </w:rPr>
      </w:pPr>
    </w:p>
    <w:p w14:paraId="7DBE5597">
      <w:pPr>
        <w:spacing w:before="0" w:after="30" w:line="220" w:lineRule="auto"/>
        <w:ind w:left="200" w:hanging="200"/>
        <w:jc w:val="both"/>
        <w:rPr>
          <w:rFonts w:ascii="Times New Roman" w:hAnsi="Times New Roman" w:eastAsia="Times New Roman" w:cs="Times New Roman"/>
          <w:sz w:val="16"/>
          <w:szCs w:val="16"/>
        </w:rPr>
      </w:pPr>
    </w:p>
    <w:p w14:paraId="311D1962">
      <w:pPr>
        <w:spacing w:before="0" w:after="30" w:line="220" w:lineRule="auto"/>
        <w:ind w:left="200" w:hanging="200"/>
        <w:jc w:val="both"/>
        <w:rPr>
          <w:rFonts w:ascii="Times New Roman" w:hAnsi="Times New Roman" w:eastAsia="Times New Roman" w:cs="Times New Roman"/>
          <w:sz w:val="16"/>
          <w:szCs w:val="16"/>
        </w:rPr>
      </w:pPr>
    </w:p>
    <w:p w14:paraId="32B0877F">
      <w:pPr>
        <w:spacing w:before="0" w:after="30" w:line="220" w:lineRule="auto"/>
        <w:ind w:left="200" w:hanging="200"/>
        <w:jc w:val="both"/>
        <w:rPr>
          <w:rFonts w:ascii="Times New Roman" w:hAnsi="Times New Roman" w:eastAsia="Times New Roman" w:cs="Times New Roman"/>
          <w:sz w:val="16"/>
          <w:szCs w:val="16"/>
        </w:rPr>
      </w:pPr>
    </w:p>
    <w:p w14:paraId="0A1FC92C">
      <w:pPr>
        <w:spacing w:before="0" w:after="30" w:line="220" w:lineRule="auto"/>
        <w:ind w:left="200" w:hanging="200"/>
        <w:jc w:val="both"/>
        <w:rPr>
          <w:rFonts w:ascii="Times New Roman" w:hAnsi="Times New Roman" w:eastAsia="Times New Roman" w:cs="Times New Roman"/>
          <w:sz w:val="16"/>
          <w:szCs w:val="16"/>
        </w:rPr>
      </w:pPr>
    </w:p>
    <w:p w14:paraId="54FC0B3C">
      <w:pPr>
        <w:spacing w:before="0" w:after="30" w:line="220" w:lineRule="auto"/>
        <w:ind w:left="200" w:hanging="200"/>
        <w:jc w:val="both"/>
        <w:rPr>
          <w:rFonts w:ascii="Times New Roman" w:hAnsi="Times New Roman" w:eastAsia="Times New Roman" w:cs="Times New Roman"/>
          <w:sz w:val="16"/>
          <w:szCs w:val="16"/>
        </w:rPr>
      </w:pPr>
    </w:p>
    <w:p w14:paraId="78854735">
      <w:pPr>
        <w:spacing w:before="0" w:after="30" w:line="220" w:lineRule="auto"/>
        <w:ind w:left="200" w:hanging="200"/>
        <w:jc w:val="both"/>
        <w:rPr>
          <w:rFonts w:ascii="Times New Roman" w:hAnsi="Times New Roman" w:eastAsia="Times New Roman" w:cs="Times New Roman"/>
          <w:sz w:val="16"/>
          <w:szCs w:val="16"/>
        </w:rPr>
      </w:pPr>
    </w:p>
    <w:p w14:paraId="29E5676B">
      <w:pPr>
        <w:spacing w:before="0" w:after="30" w:line="220" w:lineRule="auto"/>
        <w:ind w:left="200" w:hanging="200"/>
        <w:jc w:val="both"/>
        <w:rPr>
          <w:rFonts w:ascii="Times New Roman" w:hAnsi="Times New Roman" w:eastAsia="Times New Roman" w:cs="Times New Roman"/>
          <w:sz w:val="16"/>
          <w:szCs w:val="16"/>
        </w:rPr>
      </w:pPr>
    </w:p>
    <w:p w14:paraId="43773E60">
      <w:pPr>
        <w:spacing w:before="0" w:after="30" w:line="220" w:lineRule="auto"/>
        <w:ind w:left="200" w:hanging="200"/>
        <w:jc w:val="both"/>
        <w:rPr>
          <w:rFonts w:ascii="Times New Roman" w:hAnsi="Times New Roman" w:eastAsia="Times New Roman" w:cs="Times New Roman"/>
          <w:sz w:val="16"/>
          <w:szCs w:val="16"/>
        </w:rPr>
      </w:pPr>
    </w:p>
    <w:sectPr>
      <w:type w:val="continuous"/>
      <w:pgSz w:w="12240" w:h="15840"/>
      <w:pgMar w:top="1080" w:right="900" w:bottom="1080" w:left="900" w:header="708" w:footer="708" w:gutter="0"/>
      <w:pgNumType w:fmt="decimal"/>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8D3B8">
    <w:pPr>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1B31D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Xjstz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XjstzeAgAAJgYAAA4AAAAAAAAAAQAgAAAAHwEAAGRycy9lMm9Eb2MueG1sUEsF&#10;BgAAAAAGAAYAWQEAAG8GAAAAAA==&#10;">
              <v:fill on="f" focussize="0,0"/>
              <v:stroke on="f" weight="0.5pt"/>
              <v:imagedata o:title=""/>
              <o:lock v:ext="edit" aspectratio="f"/>
              <v:textbox inset="0mm,0mm,0mm,0mm" style="mso-fit-shape-to-text:t;">
                <w:txbxContent>
                  <w:p w14:paraId="301B31D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0F1C1">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EFABCD7"/>
    <w:rsid w:val="2DFF73C8"/>
    <w:rsid w:val="2FD5BA43"/>
    <w:rsid w:val="3D0912B3"/>
    <w:rsid w:val="3FE7276C"/>
    <w:rsid w:val="47DBB8EE"/>
    <w:rsid w:val="5AE12D63"/>
    <w:rsid w:val="623B8B3E"/>
    <w:rsid w:val="6C73B133"/>
    <w:rsid w:val="6F5D84C5"/>
    <w:rsid w:val="721A7BC8"/>
    <w:rsid w:val="765FFB33"/>
    <w:rsid w:val="775BED87"/>
    <w:rsid w:val="793F2227"/>
    <w:rsid w:val="7DEDD29E"/>
    <w:rsid w:val="9F5E02AF"/>
    <w:rsid w:val="AFFB0351"/>
    <w:rsid w:val="B7FF20B7"/>
    <w:rsid w:val="BBCF2761"/>
    <w:rsid w:val="CDED89B6"/>
    <w:rsid w:val="CF7F3FE1"/>
    <w:rsid w:val="D4BFD27B"/>
    <w:rsid w:val="D77F643B"/>
    <w:rsid w:val="DCA871E6"/>
    <w:rsid w:val="DF9DA6A8"/>
    <w:rsid w:val="DFB6300A"/>
    <w:rsid w:val="E7FE6C92"/>
    <w:rsid w:val="EDE5853F"/>
    <w:rsid w:val="EF7DE578"/>
    <w:rsid w:val="EFD78165"/>
    <w:rsid w:val="F75FA75A"/>
    <w:rsid w:val="F7BD175A"/>
    <w:rsid w:val="FBB78D13"/>
    <w:rsid w:val="FF3C6F4E"/>
    <w:rsid w:val="FF7F5125"/>
    <w:rsid w:val="FFCE975E"/>
    <w:rsid w:val="FFF9B6E8"/>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18"/>
      <w:szCs w:val="18"/>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18"/>
      <w:szCs w:val="18"/>
    </w:rPr>
  </w:style>
  <w:style w:type="paragraph" w:styleId="6">
    <w:name w:val="heading 5"/>
    <w:next w:val="1"/>
    <w:qFormat/>
    <w:uiPriority w:val="0"/>
    <w:rPr>
      <w:rFonts w:ascii="Times New Roman" w:hAnsi="Times New Roman" w:eastAsia="Times New Roman" w:cs="Times New Roman"/>
      <w:color w:val="2E74B5"/>
      <w:sz w:val="18"/>
      <w:szCs w:val="18"/>
    </w:rPr>
  </w:style>
  <w:style w:type="paragraph" w:styleId="7">
    <w:name w:val="heading 6"/>
    <w:next w:val="1"/>
    <w:qFormat/>
    <w:uiPriority w:val="0"/>
    <w:rPr>
      <w:rFonts w:ascii="Times New Roman" w:hAnsi="Times New Roman" w:eastAsia="Times New Roman" w:cs="Times New Roman"/>
      <w:color w:val="1F4D78"/>
      <w:sz w:val="18"/>
      <w:szCs w:val="18"/>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rPr>
      <w:rFonts w:ascii="Times New Roman" w:hAnsi="Times New Roman" w:eastAsia="Times New Roman" w:cs="Times New Roman"/>
      <w:sz w:val="56"/>
      <w:szCs w:val="56"/>
    </w:rPr>
  </w:style>
  <w:style w:type="character" w:styleId="15">
    <w:name w:val="Strong"/>
    <w:basedOn w:val="14"/>
    <w:qFormat/>
    <w:uiPriority w:val="0"/>
    <w:rPr>
      <w:b/>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Times New Roman" w:hAnsi="Times New Roman" w:eastAsia="Times New Roman" w:cs="Times New Roman"/>
      <w:sz w:val="18"/>
      <w:szCs w:val="18"/>
    </w:rPr>
  </w:style>
  <w:style w:type="character" w:customStyle="1" w:styleId="20">
    <w:name w:val="Footnote Text Char"/>
    <w:link w:val="10"/>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TotalTime>0</TotalTime>
  <ScaleCrop>false</ScaleCrop>
  <LinksUpToDate>false</LinksUpToDate>
  <Application>WPS Office WWO_wpscloud_20260615194653-b230a22616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2026-07-04T15:20:00Z</dcterms:created>
  <dc:creator>Un-named</dc:creator>
  <cp:lastModifiedBy>Un-named</cp:lastModifiedBy>
  <dcterms:modified xsi:type="dcterms:W3CDTF">2026-07-04T18:01:18Z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2052-12.9.0.26984</vt:lpwstr>
  </property>
  <property fmtid="{D5CDD505-2E9C-101B-9397-08002B2CF9AE}" pid="3" name="ICV">
    <vt:lpwstr>21DBBEE77443400CEED9486AB874E99F_43</vt:lpwstr>
  </property>
</Properties>
</file>