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Change-Aware Test Selector</w:t>
      </w:r>
    </w:p>
    <w:p>
      <w:pPr>
        <w:jc w:val="center"/>
      </w:pPr>
      <w:r>
        <w:t>Final Project Completion &amp; Verification Report</w:t>
      </w:r>
    </w:p>
    <w:p>
      <w:pPr>
        <w:jc w:val="center"/>
      </w:pPr>
      <w:r>
        <w:t>Verification date: 26 October 2026</w:t>
      </w:r>
    </w:p>
    <w:p>
      <w:pPr>
        <w:pStyle w:val="Heading1"/>
      </w:pPr>
      <w:r>
        <w:t>Completion</w:t>
      </w:r>
    </w:p>
    <w:p>
      <w:r>
        <w:t>Academic prototype deliverable completeness: 100%. The package includes the implemented selector, full-regression baseline, coverage-only baseline, hybrid approach, synthetic inputs, automated tests, measured local CI-like benchmark, event fault handling, SQLite persistence/restart recovery, local staging-style checks, usability walkthrough, ethics/deployment documentation, and evidence logs.</w:t>
      </w:r>
    </w:p>
    <w:p>
      <w:r>
        <w:t>Evidence scope: the local benchmark uses the bundled synthetic suite and runtime scaling. No company repository, company CI runner, human QA/release stakeholder, or target production environment was provided. This report does not invent external facts or represent local tests as company production certification.</w:t>
      </w:r>
    </w:p>
    <w:p>
      <w:pPr>
        <w:pStyle w:val="Heading1"/>
      </w:pPr>
      <w:r>
        <w:t>Verification summary</w:t>
      </w:r>
    </w:p>
    <w:p>
      <w:pPr>
        <w:pStyle w:val="ListBullet"/>
      </w:pPr>
      <w:r>
        <w:t>18/18 automated unit tests passed.</w:t>
      </w:r>
    </w:p>
    <w:p>
      <w:pPr>
        <w:pStyle w:val="ListBullet"/>
      </w:pPr>
      <w:r>
        <w:t>Local benchmark: 5 fixture change scenarios × 3 strategies × 5 repetitions per strategy.</w:t>
      </w:r>
    </w:p>
    <w:p>
      <w:pPr>
        <w:pStyle w:val="ListBullet"/>
      </w:pPr>
      <w:r>
        <w:t>Local staging-style validation: 9/9 checks passed.</w:t>
      </w:r>
    </w:p>
    <w:p>
      <w:pPr>
        <w:pStyle w:val="ListBullet"/>
      </w:pPr>
      <w:r>
        <w:t>Recommendation, experiment, event-processing, and SQLite durable-event commands completed successfully.</w:t>
      </w:r>
    </w:p>
    <w:p>
      <w:pPr>
        <w:pStyle w:val="ListBullet"/>
      </w:pPr>
      <w:r>
        <w:t>Unknown/unmapped changed files trigger a full-regression safety fallback.</w:t>
      </w:r>
    </w:p>
    <w:p>
      <w:pPr>
        <w:pStyle w:val="Heading1"/>
      </w:pPr>
      <w:r>
        <w:t>Measured local CI-like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Mean case-median time</w:t>
            </w:r>
          </w:p>
        </w:tc>
        <w:tc>
          <w:tcPr>
            <w:tcW w:type="dxa" w:w="2160"/>
          </w:tcPr>
          <w:p>
            <w:r>
              <w:t>Mean time saved</w:t>
            </w:r>
          </w:p>
        </w:tc>
        <w:tc>
          <w:tcPr>
            <w:tcW w:type="dxa" w:w="2160"/>
          </w:tcPr>
          <w:p>
            <w:r>
              <w:t>Fixture critical-defect recall</w:t>
            </w:r>
          </w:p>
        </w:tc>
      </w:tr>
      <w:tr>
        <w:tc>
          <w:tcPr>
            <w:tcW w:type="dxa" w:w="2160"/>
          </w:tcPr>
          <w:p>
            <w:r>
              <w:t>Full regression</w:t>
            </w:r>
          </w:p>
        </w:tc>
        <w:tc>
          <w:tcPr>
            <w:tcW w:type="dxa" w:w="2160"/>
          </w:tcPr>
          <w:p>
            <w:r>
              <w:t>0.352479 sec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Coverage-only</w:t>
            </w:r>
          </w:p>
        </w:tc>
        <w:tc>
          <w:tcPr>
            <w:tcW w:type="dxa" w:w="2160"/>
          </w:tcPr>
          <w:p>
            <w:r>
              <w:t>0.095360 sec</w:t>
            </w:r>
          </w:p>
        </w:tc>
        <w:tc>
          <w:tcPr>
            <w:tcW w:type="dxa" w:w="2160"/>
          </w:tcPr>
          <w:p>
            <w:r>
              <w:t>72.94%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Hybrid selector</w:t>
            </w:r>
          </w:p>
        </w:tc>
        <w:tc>
          <w:tcPr>
            <w:tcW w:type="dxa" w:w="2160"/>
          </w:tcPr>
          <w:p>
            <w:r>
              <w:t>0.138829 sec</w:t>
            </w:r>
          </w:p>
        </w:tc>
        <w:tc>
          <w:tcPr>
            <w:tcW w:type="dxa" w:w="2160"/>
          </w:tcPr>
          <w:p>
            <w:r>
              <w:t>60.62%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r>
        <w:t>Method: five change scenarios, each strategy repeated five times. The runner executes real Python assertions and uses a configurable synthetic runtime scale of 0.003. These are measured local fixture timings, not production e-commerce CI timings. Recall is calculated against the included synthetic defect oracle only.</w:t>
      </w:r>
    </w:p>
    <w:p>
      <w:pPr>
        <w:pStyle w:val="Heading1"/>
      </w:pPr>
      <w:r>
        <w:t>Local staging-style validation</w:t>
      </w:r>
    </w:p>
    <w:p>
      <w:r>
        <w:t>9 of 9 checks passed.</w:t>
      </w:r>
    </w:p>
    <w:p>
      <w:pPr>
        <w:pStyle w:val="ListBullet"/>
      </w:pPr>
      <w:r>
        <w:t>PASS: unknown mapping full-suite fallback — safety fallback: changed files have no mapped coverage; run full regression</w:t>
      </w:r>
    </w:p>
    <w:p>
      <w:pPr>
        <w:pStyle w:val="ListBullet"/>
      </w:pPr>
      <w:r>
        <w:t>PASS: coverage-only empty-match fallback — safety fallback: no mapped coverage; run full regression</w:t>
      </w:r>
    </w:p>
    <w:p>
      <w:pPr>
        <w:pStyle w:val="ListBullet"/>
      </w:pPr>
      <w:r>
        <w:t>PASS: out-of-order event buffered — sequence 2 waits for sequence 1</w:t>
      </w:r>
    </w:p>
    <w:p>
      <w:pPr>
        <w:pStyle w:val="ListBullet"/>
      </w:pPr>
      <w:r>
        <w:t>PASS: pending event survives restart — reopened processor recovered sequence 2</w:t>
      </w:r>
    </w:p>
    <w:p>
      <w:pPr>
        <w:pStyle w:val="ListBullet"/>
      </w:pPr>
      <w:r>
        <w:t>PASS: ordered recovery commits 1 then 2 — committed order preserved</w:t>
      </w:r>
    </w:p>
    <w:p>
      <w:pPr>
        <w:pStyle w:val="ListBullet"/>
      </w:pPr>
      <w:r>
        <w:t>PASS: duplicate event idempotency — committed_count=2</w:t>
      </w:r>
    </w:p>
    <w:p>
      <w:pPr>
        <w:pStyle w:val="ListBullet"/>
      </w:pPr>
      <w:r>
        <w:t>PASS: conflicting sequence rejected — {'status': 'conflict', 'sequence': 5, 'kept_event_id': 'stage-e5a'}</w:t>
      </w:r>
    </w:p>
    <w:p>
      <w:pPr>
        <w:pStyle w:val="ListBullet"/>
      </w:pPr>
      <w:r>
        <w:t>PASS: malformed envelope audited — {'status': 'rejected', 'reason': 'invalid envelope'}</w:t>
      </w:r>
    </w:p>
    <w:p>
      <w:pPr>
        <w:pStyle w:val="ListBullet"/>
      </w:pPr>
      <w:r>
        <w:t>PASS: SQLite backup restore retains committed state — restored_committed=3</w:t>
      </w:r>
    </w:p>
    <w:p>
      <w:pPr>
        <w:pStyle w:val="Heading1"/>
      </w:pPr>
      <w:r>
        <w:t>Why the hybrid design is selected</w:t>
      </w:r>
    </w:p>
    <w:p>
      <w:r>
        <w:t>Full regression is the safest baseline but executes every test. Coverage-only is fast but ignores history and defect associations. Hybrid combines direct/dependency coverage, historical failure signal, and critical-defect links with a safety floor. When changed files cannot be mapped to known test coverage, the selector falls back to full regression. In the local fixture benchmark, hybrid saved 60.62% mean wall-clock time while preserving 100% of in-scope critical defects in the fixture oracle.</w:t>
      </w:r>
    </w:p>
    <w:p>
      <w:pPr>
        <w:pStyle w:val="Heading1"/>
      </w:pPr>
      <w:r>
        <w:t>Usability review</w:t>
      </w:r>
    </w:p>
    <w:p>
      <w:r>
        <w:t>An assistant-led heuristic walkthrough is documented in reports/assistant_heuristic_usability_review.md. It reviewed recommendation generation, rationale visibility, approach comparison, safety fallback, and event recovery. It is not presented as a human stakeholder interview or company sign-off.</w:t>
      </w:r>
    </w:p>
    <w:p>
      <w:pPr>
        <w:pStyle w:val="Heading1"/>
      </w:pPr>
      <w:r>
        <w:t>Final conclusion</w:t>
      </w:r>
    </w:p>
    <w:p>
      <w:r>
        <w:t>The self-contained academic prototype package is complete and locally verified. Reproducible source, tests, measured local experiment results, and staging-style evidence are included. Real company CI and production certification are not claimed because those environments were not available.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