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6388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38800" cy="647700"/>
                    </a:xfrm>
                    <a:prstGeom prst="rect">
                      <a:avLst/>
                    </a:prstGeom>
                  </pic:spPr>
                </pic:pic>
              </a:graphicData>
            </a:graphic>
          </wp:inline>
        </w:drawing>
      </w:r>
    </w:p>
    <w:p>
      <w:pPr>
        <w:spacing w:after="60" w:before="200"/>
        <w:jc w:val="center"/>
      </w:pPr>
      <w:r>
        <w:rPr>
          <w:b/>
          <w:bCs/>
          <w:sz w:val="26"/>
          <w:szCs w:val="26"/>
        </w:rPr>
        <w:t xml:space="preserve">DEPARTMENT OF CSE</w:t>
      </w:r>
    </w:p>
    <w:p>
      <w:pPr>
        <w:spacing w:after="60"/>
        <w:jc w:val="center"/>
      </w:pPr>
      <w:r>
        <w:rPr>
          <w:b/>
          <w:bCs/>
          <w:sz w:val="26"/>
          <w:szCs w:val="26"/>
        </w:rPr>
        <w:t xml:space="preserve">PROJECT ABSTRACT SUBMISSION</w:t>
      </w:r>
    </w:p>
    <w:p>
      <w:pPr>
        <w:spacing w:after="220"/>
        <w:jc w:val="center"/>
      </w:pPr>
      <w:r>
        <w:rPr>
          <w:b/>
          <w:bCs/>
          <w:sz w:val="22"/>
          <w:szCs w:val="22"/>
        </w:rPr>
        <w:t xml:space="preserve">COURSE: SOA PROGRAMMING AND MICROSERVICES-- (24SDCS03)  A.Y. 2026 - 2027</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00"/>
      </w:tblGrid>
      <w:tr>
        <w:tc>
          <w:tcPr>
            <w:tcW w:type="dxa" w:w="1700"/>
            <w:tcBorders>
              <w:top w:val="single" w:color="808080" w:sz="4"/>
              <w:left w:val="single" w:color="808080" w:sz="4"/>
              <w:bottom w:val="single" w:color="808080" w:sz="4"/>
              <w:right w:val="single" w:color="808080" w:sz="4"/>
            </w:tcBorders>
            <w:shd w:fill="F2F2F2" w:color="auto" w:val="clear"/>
            <w:vAlign w:val="center"/>
          </w:tcPr>
          <w:p>
            <w:r>
              <w:rPr>
                <w:b/>
                <w:bCs/>
                <w:sz w:val="20"/>
                <w:szCs w:val="20"/>
              </w:rPr>
              <w:t xml:space="preserve">TITLE OF THE PROJECT</w:t>
            </w:r>
          </w:p>
        </w:tc>
        <w:tc>
          <w:tcPr>
            <w:tcW w:type="dxa" w:w="7600"/>
            <w:gridSpan w:val="2"/>
            <w:tcBorders>
              <w:top w:val="single" w:color="808080" w:sz="4"/>
              <w:left w:val="single" w:color="808080" w:sz="4"/>
              <w:bottom w:val="single" w:color="808080" w:sz="4"/>
              <w:right w:val="single" w:color="808080" w:sz="4"/>
            </w:tcBorders>
            <w:vAlign w:val="center"/>
          </w:tcPr>
          <w:p>
            <w:pPr>
              <w:jc w:val="center"/>
            </w:pPr>
            <w:r>
              <w:rPr>
                <w:b/>
                <w:bCs/>
                <w:sz w:val="22"/>
                <w:szCs w:val="22"/>
              </w:rPr>
              <w:t xml:space="preserve">AI-Driven Recruitment &amp; HR: Recruitment Approval Workflow</w:t>
            </w:r>
          </w:p>
        </w:tc>
      </w:tr>
      <w:tr>
        <w:tc>
          <w:tcPr>
            <w:tcW w:type="dxa" w:w="1600"/>
            <w:tcBorders>
              <w:top w:val="single" w:color="808080" w:sz="4"/>
              <w:left w:val="single" w:color="808080" w:sz="4"/>
              <w:bottom w:val="single" w:color="808080" w:sz="4"/>
              <w:right w:val="single" w:color="808080" w:sz="4"/>
            </w:tcBorders>
            <w:shd w:fill="F2F2F2" w:color="auto" w:val="clear"/>
            <w:vAlign w:val="center"/>
          </w:tcPr>
          <w:p>
            <w:r>
              <w:rPr>
                <w:b/>
                <w:bCs/>
                <w:sz w:val="20"/>
                <w:szCs w:val="20"/>
              </w:rPr>
              <w:t xml:space="preserve">S. No.</w:t>
            </w:r>
          </w:p>
        </w:tc>
        <w:tc>
          <w:tcPr>
            <w:tcW w:type="dxa" w:w="3600"/>
            <w:tcBorders>
              <w:top w:val="single" w:color="808080" w:sz="4"/>
              <w:left w:val="single" w:color="808080" w:sz="4"/>
              <w:bottom w:val="single" w:color="808080" w:sz="4"/>
              <w:right w:val="single" w:color="808080" w:sz="4"/>
            </w:tcBorders>
            <w:shd w:fill="F2F2F2" w:color="auto" w:val="clear"/>
            <w:vAlign w:val="center"/>
          </w:tcPr>
          <w:p>
            <w:r>
              <w:rPr>
                <w:b/>
                <w:bCs/>
                <w:sz w:val="20"/>
                <w:szCs w:val="20"/>
              </w:rPr>
              <w:t xml:space="preserve">University ID</w:t>
            </w:r>
          </w:p>
        </w:tc>
        <w:tc>
          <w:tcPr>
            <w:tcW w:type="dxa" w:w="4000"/>
            <w:tcBorders>
              <w:top w:val="single" w:color="808080" w:sz="4"/>
              <w:left w:val="single" w:color="808080" w:sz="4"/>
              <w:bottom w:val="single" w:color="808080" w:sz="4"/>
              <w:right w:val="single" w:color="808080" w:sz="4"/>
            </w:tcBorders>
            <w:shd w:fill="F2F2F2" w:color="auto" w:val="clear"/>
            <w:vAlign w:val="center"/>
          </w:tcPr>
          <w:p>
            <w:r>
              <w:rPr>
                <w:b/>
                <w:bCs/>
                <w:sz w:val="20"/>
                <w:szCs w:val="20"/>
              </w:rPr>
              <w:t xml:space="preserve">Name</w:t>
            </w:r>
          </w:p>
        </w:tc>
      </w:tr>
      <w:tr>
        <w:tc>
          <w:tcPr>
            <w:tcW w:type="dxa" w:w="1600"/>
            <w:tcBorders>
              <w:top w:val="single" w:color="808080" w:sz="4"/>
              <w:left w:val="single" w:color="808080" w:sz="4"/>
              <w:bottom w:val="single" w:color="808080" w:sz="4"/>
              <w:right w:val="single" w:color="808080" w:sz="4"/>
            </w:tcBorders>
            <w:vAlign w:val="center"/>
          </w:tcPr>
          <w:p>
            <w:r>
              <w:rPr>
                <w:b w:val="false"/>
                <w:bCs w:val="false"/>
                <w:sz w:val="20"/>
                <w:szCs w:val="20"/>
              </w:rPr>
              <w:t xml:space="preserve">1</w:t>
            </w:r>
          </w:p>
        </w:tc>
        <w:tc>
          <w:tcPr>
            <w:tcW w:type="dxa" w:w="3600"/>
            <w:tcBorders>
              <w:top w:val="single" w:color="808080" w:sz="4"/>
              <w:left w:val="single" w:color="808080" w:sz="4"/>
              <w:bottom w:val="single" w:color="808080" w:sz="4"/>
              <w:right w:val="single" w:color="808080" w:sz="4"/>
            </w:tcBorders>
            <w:vAlign w:val="center"/>
          </w:tcPr>
          <w:p>
            <w:r>
              <w:rPr>
                <w:b w:val="false"/>
                <w:bCs w:val="false"/>
                <w:sz w:val="20"/>
                <w:szCs w:val="20"/>
              </w:rPr>
              <w:t xml:space="preserve">2420030272</w:t>
            </w:r>
          </w:p>
        </w:tc>
        <w:tc>
          <w:tcPr>
            <w:tcW w:type="dxa" w:w="4000"/>
            <w:tcBorders>
              <w:top w:val="single" w:color="808080" w:sz="4"/>
              <w:left w:val="single" w:color="808080" w:sz="4"/>
              <w:bottom w:val="single" w:color="808080" w:sz="4"/>
              <w:right w:val="single" w:color="808080" w:sz="4"/>
            </w:tcBorders>
            <w:vAlign w:val="center"/>
          </w:tcPr>
          <w:p>
            <w:r>
              <w:rPr>
                <w:b w:val="false"/>
                <w:bCs w:val="false"/>
                <w:sz w:val="20"/>
                <w:szCs w:val="20"/>
              </w:rPr>
              <w:t xml:space="preserve">D. VINAY VARMA</w:t>
            </w:r>
          </w:p>
        </w:tc>
      </w:tr>
      <w:tr>
        <w:tc>
          <w:tcPr>
            <w:tcW w:type="dxa" w:w="1600"/>
            <w:tcBorders>
              <w:top w:val="single" w:color="808080" w:sz="4"/>
              <w:left w:val="single" w:color="808080" w:sz="4"/>
              <w:bottom w:val="single" w:color="808080" w:sz="4"/>
              <w:right w:val="single" w:color="808080" w:sz="4"/>
            </w:tcBorders>
            <w:vAlign w:val="center"/>
          </w:tcPr>
          <w:p>
            <w:r>
              <w:rPr>
                <w:b w:val="false"/>
                <w:bCs w:val="false"/>
                <w:sz w:val="20"/>
                <w:szCs w:val="20"/>
              </w:rPr>
              <w:t xml:space="preserve">2</w:t>
            </w:r>
          </w:p>
        </w:tc>
        <w:tc>
          <w:tcPr>
            <w:tcW w:type="dxa" w:w="3600"/>
            <w:tcBorders>
              <w:top w:val="single" w:color="808080" w:sz="4"/>
              <w:left w:val="single" w:color="808080" w:sz="4"/>
              <w:bottom w:val="single" w:color="808080" w:sz="4"/>
              <w:right w:val="single" w:color="808080" w:sz="4"/>
            </w:tcBorders>
            <w:vAlign w:val="center"/>
          </w:tcPr>
          <w:p>
            <w:r>
              <w:rPr>
                <w:b w:val="false"/>
                <w:bCs w:val="false"/>
                <w:sz w:val="20"/>
                <w:szCs w:val="20"/>
              </w:rPr>
              <w:t xml:space="preserve">2420030271</w:t>
            </w:r>
          </w:p>
        </w:tc>
        <w:tc>
          <w:tcPr>
            <w:tcW w:type="dxa" w:w="4000"/>
            <w:tcBorders>
              <w:top w:val="single" w:color="808080" w:sz="4"/>
              <w:left w:val="single" w:color="808080" w:sz="4"/>
              <w:bottom w:val="single" w:color="808080" w:sz="4"/>
              <w:right w:val="single" w:color="808080" w:sz="4"/>
            </w:tcBorders>
            <w:vAlign w:val="center"/>
          </w:tcPr>
          <w:p>
            <w:r>
              <w:rPr>
                <w:b w:val="false"/>
                <w:bCs w:val="false"/>
                <w:sz w:val="20"/>
                <w:szCs w:val="20"/>
              </w:rPr>
              <w:t xml:space="preserve">R. HARSHIT</w:t>
            </w:r>
          </w:p>
        </w:tc>
      </w:tr>
      <w:tr>
        <w:tc>
          <w:tcPr>
            <w:tcW w:type="dxa" w:w="1600"/>
            <w:tcBorders>
              <w:top w:val="single" w:color="808080" w:sz="4"/>
              <w:left w:val="single" w:color="808080" w:sz="4"/>
              <w:bottom w:val="single" w:color="808080" w:sz="4"/>
              <w:right w:val="single" w:color="808080" w:sz="4"/>
            </w:tcBorders>
            <w:vAlign w:val="center"/>
          </w:tcPr>
          <w:p>
            <w:r>
              <w:rPr>
                <w:b w:val="false"/>
                <w:bCs w:val="false"/>
                <w:sz w:val="20"/>
                <w:szCs w:val="20"/>
              </w:rPr>
              <w:t xml:space="preserve">3</w:t>
            </w:r>
          </w:p>
        </w:tc>
        <w:tc>
          <w:tcPr>
            <w:tcW w:type="dxa" w:w="3600"/>
            <w:tcBorders>
              <w:top w:val="single" w:color="808080" w:sz="4"/>
              <w:left w:val="single" w:color="808080" w:sz="4"/>
              <w:bottom w:val="single" w:color="808080" w:sz="4"/>
              <w:right w:val="single" w:color="808080" w:sz="4"/>
            </w:tcBorders>
            <w:vAlign w:val="center"/>
          </w:tcPr>
          <w:p>
            <w:r>
              <w:rPr>
                <w:b w:val="false"/>
                <w:bCs w:val="false"/>
                <w:sz w:val="20"/>
                <w:szCs w:val="20"/>
              </w:rPr>
              <w:t xml:space="preserve">2420030764</w:t>
            </w:r>
          </w:p>
        </w:tc>
        <w:tc>
          <w:tcPr>
            <w:tcW w:type="dxa" w:w="4000"/>
            <w:tcBorders>
              <w:top w:val="single" w:color="808080" w:sz="4"/>
              <w:left w:val="single" w:color="808080" w:sz="4"/>
              <w:bottom w:val="single" w:color="808080" w:sz="4"/>
              <w:right w:val="single" w:color="808080" w:sz="4"/>
            </w:tcBorders>
            <w:vAlign w:val="center"/>
          </w:tcPr>
          <w:p>
            <w:r>
              <w:rPr>
                <w:b w:val="false"/>
                <w:bCs w:val="false"/>
                <w:sz w:val="20"/>
                <w:szCs w:val="20"/>
              </w:rPr>
              <w:t xml:space="preserve">SAI TEJA</w:t>
            </w:r>
          </w:p>
        </w:tc>
      </w:tr>
      <w:tr>
        <w:tc>
          <w:tcPr>
            <w:tcW w:type="dxa" w:w="1700"/>
            <w:tcBorders>
              <w:top w:val="single" w:color="808080" w:sz="4"/>
              <w:left w:val="single" w:color="808080" w:sz="4"/>
              <w:bottom w:val="single" w:color="808080" w:sz="4"/>
              <w:right w:val="single" w:color="808080" w:sz="4"/>
            </w:tcBorders>
            <w:shd w:fill="F2F2F2" w:color="auto" w:val="clear"/>
            <w:vAlign w:val="center"/>
          </w:tcPr>
          <w:p>
            <w:r>
              <w:rPr>
                <w:b/>
                <w:bCs/>
                <w:sz w:val="20"/>
                <w:szCs w:val="20"/>
              </w:rPr>
              <w:t xml:space="preserve">Name of the Guide</w:t>
            </w:r>
          </w:p>
        </w:tc>
        <w:tc>
          <w:tcPr>
            <w:tcW w:type="dxa" w:w="7600"/>
            <w:gridSpan w:val="2"/>
            <w:tcBorders>
              <w:top w:val="single" w:color="808080" w:sz="4"/>
              <w:left w:val="single" w:color="808080" w:sz="4"/>
              <w:bottom w:val="single" w:color="808080" w:sz="4"/>
              <w:right w:val="single" w:color="808080" w:sz="4"/>
            </w:tcBorders>
            <w:vAlign w:val="center"/>
          </w:tcPr>
          <w:p>
            <w:pPr>
              <w:jc w:val="center"/>
            </w:pPr>
            <w:r>
              <w:rPr>
                <w:b/>
                <w:bCs/>
                <w:sz w:val="22"/>
                <w:szCs w:val="22"/>
              </w:rPr>
              <w:t xml:space="preserve">DR NEELIMA GOGINENI</w:t>
            </w:r>
          </w:p>
        </w:tc>
      </w:tr>
    </w:tbl>
    <w:p>
      <w:pPr>
        <w:spacing w:after="200"/>
      </w:pPr>
    </w:p>
    <w:p>
      <w:pPr>
        <w:spacing w:after="160" w:before="280"/>
      </w:pPr>
      <w:r>
        <w:rPr>
          <w:b/>
          <w:bCs/>
          <w:sz w:val="24"/>
          <w:szCs w:val="24"/>
        </w:rPr>
        <w:t xml:space="preserve">Abstract:</w:t>
      </w:r>
    </w:p>
    <w:p>
      <w:pPr>
        <w:spacing w:after="200" w:line="276"/>
        <w:jc w:val="both"/>
      </w:pPr>
      <w:r>
        <w:rPr>
          <w:sz w:val="22"/>
          <w:szCs w:val="22"/>
        </w:rPr>
        <w:t xml:space="preserve">Modern organizations increasingly rely on structured recruitment processes to hire the right talent efficiently, yet many still manage recruitment requests through manual or loosely integrated methods involving emails, spreadsheets, and multiple disconnected departments. This ad-hoc approach frequently leads to delayed approval of recruitment requests, a lack of centralized request tracking, difficulty monitoring approval status, unauthorized access to sensitive recruitment information, poor communication between recruiters and HR personnel, limited scalability of monolithic systems, and difficulty maintaining an auditable approval history. These limitations highlight the need for a secure, transparent, and scalable digital system that can streamline the recruitment approval process across an organization.</w:t>
      </w:r>
    </w:p>
    <w:p>
      <w:pPr>
        <w:spacing w:after="200" w:line="276"/>
        <w:jc w:val="both"/>
      </w:pPr>
      <w:r>
        <w:rPr>
          <w:sz w:val="22"/>
          <w:szCs w:val="22"/>
        </w:rPr>
        <w:t xml:space="preserve">To address this need, the proposed AI-Driven Recruitment &amp; HR: Recruitment Approval Workflow system employs a service-oriented, microservices-based architecture to digitize and automate the recruitment request and approval lifecycle. The system enables Recruiters, HR personnel, and Administrators to interact with a centralized, role-based platform for submitting, reviewing, approving, or rejecting recruitment requests, while maintaining a transparent and auditable trail of every action taken.</w:t>
      </w:r>
    </w:p>
    <w:p>
      <w:pPr>
        <w:spacing w:after="200" w:line="276"/>
        <w:jc w:val="both"/>
      </w:pPr>
      <w:r>
        <w:rPr>
          <w:sz w:val="22"/>
          <w:szCs w:val="22"/>
        </w:rPr>
        <w:t xml:space="preserve">The first component of the system focuses on digital recruitment request submission and role-based access. Recruiters can raise recruitment requests through a web or mobile client, while HR personnel and Administrators are granted role-specific permissions to review, approve, or reject these requests. Secure authentication and authorization are implemented using JSON Web Tokens (JWT) and Role-Based Access Control (RBAC), ensuring that recruitment information is accessible only to authorized users.</w:t>
      </w:r>
    </w:p>
    <w:p>
      <w:pPr>
        <w:spacing w:after="200" w:line="276"/>
        <w:jc w:val="both"/>
      </w:pPr>
      <w:r>
        <w:rPr>
          <w:sz w:val="22"/>
          <w:szCs w:val="22"/>
        </w:rPr>
        <w:t xml:space="preserve">The second component automates the recruitment approval and rejection workflow and provides real-time request status tracking. The system is designed as a set of independent microservices, including User, Recruitment, Approval, and Notification services, each with its own dedicated database, allowing individual functionalities to be developed, deployed, and scaled independently. Service discovery is implemented using Netflix Eureka, enabling services to dynamically register and locate one another, while Spring Cloud Gateway provides centralized API routing, request filtering, and load balancing across the microservices.</w:t>
      </w:r>
    </w:p>
    <w:p>
      <w:pPr>
        <w:spacing w:after="200" w:line="276"/>
        <w:jc w:val="both"/>
      </w:pPr>
      <w:r>
        <w:rPr>
          <w:sz w:val="22"/>
          <w:szCs w:val="22"/>
        </w:rPr>
        <w:t xml:space="preserve">The third component introduces event-driven, asynchronous communication using Apache Kafka to trigger notifications whenever a recruitment request is submitted, approved, or rejected. This reduces direct dependencies between services and improves the responsiveness and scalability of the overall system. REST APIs are used for inter-service communication, and the system is tested using Postman along with automated test suites to verify the correctness and reliability of each service.</w:t>
      </w:r>
    </w:p>
    <w:p>
      <w:pPr>
        <w:spacing w:after="200" w:line="276"/>
        <w:jc w:val="both"/>
      </w:pPr>
      <w:r>
        <w:rPr>
          <w:sz w:val="22"/>
          <w:szCs w:val="22"/>
        </w:rPr>
        <w:t xml:space="preserve">The proposed system is technically feasible using open-source technologies such as Java, Spring Boot, Spring Cloud, Eureka, Kafka, JWT, and MySQL, and is economically viable due to its low development and operational costs and its use of freely available, open-source tools. Operationally, the system is designed to be easy for recruiters, HR personnel, and administrators to use, automating approval and rejection workflows while improving tracking, communication, and auditability. The project is planned to be completed within a 27-week timeline spanning requirement analysis, system design, microservices development, security and gateway integration, testing and integration, and deployment with documentation. Collectively, the proposed system combines role-based digital request submission, automated approval workflows, secure JWT-based authentication, service discovery, API gateway routing, and event-driven notifications within a unified microservices platform, with the goal of delivering a secure, scalable recruitment approval workflow system that streamlines HR operations for organizations of all sizes.</w:t>
      </w:r>
    </w:p>
    <w:p>
      <w:pPr>
        <w:spacing w:after="160" w:before="280"/>
      </w:pPr>
      <w:r>
        <w:rPr>
          <w:b/>
          <w:bCs/>
          <w:sz w:val="24"/>
          <w:szCs w:val="24"/>
        </w:rPr>
        <w:t xml:space="preserve">Project Architecture/Project Overview:</w:t>
      </w:r>
    </w:p>
    <w:p>
      <w:pPr>
        <w:jc w:val="center"/>
      </w:pPr>
      <w:r>
        <w:drawing>
          <wp:inline distT="0" distB="0" distL="0" distR="0">
            <wp:extent cx="5572125"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72125" cy="3667125"/>
                    </a:xfrm>
                    <a:prstGeom prst="rect">
                      <a:avLst/>
                    </a:prstGeom>
                  </pic:spPr>
                </pic:pic>
              </a:graphicData>
            </a:graphic>
          </wp:inline>
        </w:drawing>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9743eda20d9298190bb5d1637d6fc7dfcd88ff7.png"/><Relationship Id="rId8" Type="http://schemas.openxmlformats.org/officeDocument/2006/relationships/image" Target="media/27abf325d34431b3a1085e0fc1ee4873fedd5f7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2026-09-01T08:19:28.337Z</dcterms:created>
  <dcterms:modified xsi:type="dcterms:W3CDTF">2026-09-01T08:19:28.350Z</dcterms:modified>
</cp:coreProperties>
</file>

<file path=docProps/custom.xml><?xml version="1.0" encoding="utf-8"?>
<Properties xmlns="http://schemas.openxmlformats.org/officeDocument/2006/custom-properties" xmlns:vt="http://schemas.openxmlformats.org/officeDocument/2006/docPropsVTypes"/>
</file>