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 data for your</w:t>
        <w:br/>
        <w:t>SIF model</w:t>
      </w:r>
    </w:p>
    <w:p>
      <w:pPr>
        <w:pStyle w:val="Subtitle"/>
      </w:pPr>
      <w:r>
        <w:t>SIH26165 / Oil India  •  Research catalogue and collection plan</w:t>
      </w:r>
    </w:p>
    <w:p>
      <w:pPr>
        <w:pStyle w:val="Metadata"/>
      </w:pPr>
      <w:r>
        <w:t>Prepared for Harshit and the SIH team  |  3 September 2026</w:t>
      </w:r>
    </w:p>
    <w:p>
      <w:pPr/>
      <w:r>
        <w:t>Project scope: classify SIF potential versus non-SIF, tag IOGP Life-Saving Rules, and identify recurring precursors. This guide follows the project scope supplied in your capsule; it is not a reproduction of the official SIH problem statement.</w:t>
      </w:r>
    </w:p>
    <w:p>
      <w:pPr>
        <w:pStyle w:val="Callout"/>
        <w:shd w:fill="F4F6F9"/>
      </w:pPr>
      <w:r>
        <w:t>Start with real incident narratives and a small expert-reviewed dataset. Use safety rules as a retrieval knowledge base. Treat synthetic records as clearly marked supplements.</w:t>
      </w:r>
    </w:p>
    <w:p>
      <w:pPr>
        <w:pStyle w:val="Heading1"/>
      </w:pPr>
      <w:r>
        <w:t>Best sources for your first collection</w:t>
      </w:r>
    </w:p>
    <w:tbl>
      <w:tblPr>
        <w:tblW w:type="dxa" w:w="9360"/>
        <w:jc w:val="left"/>
        <w:tblLayout w:type="fixed"/>
        <w:tblLook w:firstColumn="1" w:firstRow="1" w:lastColumn="0" w:lastRow="0" w:noHBand="0" w:noVBand="1" w:val="04A0"/>
        <w:tblInd w:type="dxa" w:w="120"/>
        <w:tblBorders>
          <w:top w:val="single" w:sz="4" w:color="CAD5E0"/>
          <w:left w:val="single" w:sz="4" w:color="CAD5E0"/>
          <w:bottom w:val="single" w:sz="4" w:color="CAD5E0"/>
          <w:right w:val="single" w:sz="4" w:color="CAD5E0"/>
          <w:insideH w:val="single" w:sz="4" w:color="CAD5E0"/>
          <w:insideV w:val="single" w:sz="4" w:color="CAD5E0"/>
        </w:tblBorders>
      </w:tblPr>
      <w:tblGrid>
        <w:gridCol w:w="2550"/>
        <w:gridCol w:w="2790"/>
        <w:gridCol w:w="4020"/>
      </w:tblGrid>
      <w:tr>
        <w:trPr>
          <w:cantSplit/>
          <w:tblHeader/>
        </w:trPr>
        <w:tc>
          <w:tcPr>
            <w:tcW w:type="dxa" w:w="2550"/>
            <w:tcMar>
              <w:top w:w="80" w:type="dxa"/>
              <w:bottom w:w="80" w:type="dxa"/>
              <w:start w:w="120" w:type="dxa"/>
              <w:end w:w="120" w:type="dxa"/>
            </w:tcMar>
            <w:vAlign w:val="center"/>
            <w:shd w:fill="E8EEF5"/>
          </w:tcPr>
          <w:p>
            <w:pPr>
              <w:pStyle w:val="TableBody"/>
            </w:pPr>
            <w:r>
              <w:rPr>
                <w:b/>
              </w:rPr>
              <w:t>Need</w:t>
            </w:r>
          </w:p>
        </w:tc>
        <w:tc>
          <w:tcPr>
            <w:tcW w:type="dxa" w:w="2790"/>
            <w:tcMar>
              <w:top w:w="80" w:type="dxa"/>
              <w:bottom w:w="80" w:type="dxa"/>
              <w:start w:w="120" w:type="dxa"/>
              <w:end w:w="120" w:type="dxa"/>
            </w:tcMar>
            <w:vAlign w:val="center"/>
            <w:shd w:fill="E8EEF5"/>
          </w:tcPr>
          <w:p>
            <w:pPr>
              <w:pStyle w:val="TableBody"/>
            </w:pPr>
            <w:r>
              <w:rPr>
                <w:b/>
              </w:rPr>
              <w:t>Start with</w:t>
            </w:r>
          </w:p>
        </w:tc>
        <w:tc>
          <w:tcPr>
            <w:tcW w:type="dxa" w:w="4020"/>
            <w:tcMar>
              <w:top w:w="80" w:type="dxa"/>
              <w:bottom w:w="80" w:type="dxa"/>
              <w:start w:w="120" w:type="dxa"/>
              <w:end w:w="120" w:type="dxa"/>
            </w:tcMar>
            <w:vAlign w:val="center"/>
            <w:shd w:fill="E8EEF5"/>
          </w:tcPr>
          <w:p>
            <w:pPr>
              <w:pStyle w:val="TableBody"/>
            </w:pPr>
            <w:r>
              <w:rPr>
                <w:b/>
              </w:rPr>
              <w:t>Why it fits</w:t>
            </w:r>
          </w:p>
        </w:tc>
      </w:tr>
      <w:tr>
        <w:trPr>
          <w:cantSplit/>
        </w:trPr>
        <w:tc>
          <w:tcPr>
            <w:tcW w:type="dxa" w:w="2550"/>
            <w:tcMar>
              <w:top w:w="80" w:type="dxa"/>
              <w:bottom w:w="80" w:type="dxa"/>
              <w:start w:w="120" w:type="dxa"/>
              <w:end w:w="120" w:type="dxa"/>
            </w:tcMar>
            <w:vAlign w:val="center"/>
          </w:tcPr>
          <w:p>
            <w:pPr>
              <w:pStyle w:val="TableBody"/>
            </w:pPr>
            <w:r>
              <w:t>Potential-severity examples</w:t>
            </w:r>
          </w:p>
        </w:tc>
        <w:tc>
          <w:tcPr>
            <w:tcW w:type="dxa" w:w="2790"/>
            <w:tcMar>
              <w:top w:w="80" w:type="dxa"/>
              <w:bottom w:w="80" w:type="dxa"/>
              <w:start w:w="120" w:type="dxa"/>
              <w:end w:w="120" w:type="dxa"/>
            </w:tcMar>
            <w:vAlign w:val="center"/>
          </w:tcPr>
          <w:p>
            <w:pPr>
              <w:pStyle w:val="TableBody"/>
            </w:pPr>
            <w:r>
              <w:t>IOGP S01–S03</w:t>
            </w:r>
          </w:p>
        </w:tc>
        <w:tc>
          <w:tcPr>
            <w:tcW w:type="dxa" w:w="4020"/>
            <w:tcMar>
              <w:top w:w="80" w:type="dxa"/>
              <w:bottom w:w="80" w:type="dxa"/>
              <w:start w:w="120" w:type="dxa"/>
              <w:end w:w="120" w:type="dxa"/>
            </w:tcMar>
            <w:vAlign w:val="center"/>
          </w:tcPr>
          <w:p>
            <w:pPr>
              <w:pStyle w:val="TableBody"/>
            </w:pPr>
            <w:r>
              <w:t>Industry narratives; published event categories</w:t>
            </w:r>
          </w:p>
        </w:tc>
      </w:tr>
      <w:tr>
        <w:trPr>
          <w:cantSplit/>
        </w:trPr>
        <w:tc>
          <w:tcPr>
            <w:tcW w:type="dxa" w:w="2550"/>
            <w:tcMar>
              <w:top w:w="80" w:type="dxa"/>
              <w:bottom w:w="80" w:type="dxa"/>
              <w:start w:w="120" w:type="dxa"/>
              <w:end w:w="120" w:type="dxa"/>
            </w:tcMar>
            <w:vAlign w:val="center"/>
          </w:tcPr>
          <w:p>
            <w:pPr>
              <w:pStyle w:val="TableBody"/>
            </w:pPr>
            <w:r>
              <w:t>Indian petroleum context</w:t>
            </w:r>
          </w:p>
        </w:tc>
        <w:tc>
          <w:tcPr>
            <w:tcW w:type="dxa" w:w="2790"/>
            <w:tcMar>
              <w:top w:w="80" w:type="dxa"/>
              <w:bottom w:w="80" w:type="dxa"/>
              <w:start w:w="120" w:type="dxa"/>
              <w:end w:w="120" w:type="dxa"/>
            </w:tcMar>
            <w:vAlign w:val="center"/>
          </w:tcPr>
          <w:p>
            <w:pPr>
              <w:pStyle w:val="TableBody"/>
            </w:pPr>
            <w:r>
              <w:t>OISD S04; PNGRB S05</w:t>
            </w:r>
          </w:p>
        </w:tc>
        <w:tc>
          <w:tcPr>
            <w:tcW w:type="dxa" w:w="4020"/>
            <w:tcMar>
              <w:top w:w="80" w:type="dxa"/>
              <w:bottom w:w="80" w:type="dxa"/>
              <w:start w:w="120" w:type="dxa"/>
              <w:end w:w="120" w:type="dxa"/>
            </w:tcMar>
            <w:vAlign w:val="center"/>
          </w:tcPr>
          <w:p>
            <w:pPr>
              <w:pStyle w:val="TableBody"/>
            </w:pPr>
            <w:r>
              <w:t>Local incidents and investigation reports</w:t>
            </w:r>
          </w:p>
        </w:tc>
      </w:tr>
      <w:tr>
        <w:trPr>
          <w:cantSplit/>
        </w:trPr>
        <w:tc>
          <w:tcPr>
            <w:tcW w:type="dxa" w:w="2550"/>
            <w:tcMar>
              <w:top w:w="80" w:type="dxa"/>
              <w:bottom w:w="80" w:type="dxa"/>
              <w:start w:w="120" w:type="dxa"/>
              <w:end w:w="120" w:type="dxa"/>
            </w:tcMar>
            <w:vAlign w:val="center"/>
          </w:tcPr>
          <w:p>
            <w:pPr>
              <w:pStyle w:val="TableBody"/>
            </w:pPr>
            <w:r>
              <w:t>Life-Saving Rule tags</w:t>
            </w:r>
          </w:p>
        </w:tc>
        <w:tc>
          <w:tcPr>
            <w:tcW w:type="dxa" w:w="2790"/>
            <w:tcMar>
              <w:top w:w="80" w:type="dxa"/>
              <w:bottom w:w="80" w:type="dxa"/>
              <w:start w:w="120" w:type="dxa"/>
              <w:end w:w="120" w:type="dxa"/>
            </w:tcMar>
            <w:vAlign w:val="center"/>
          </w:tcPr>
          <w:p>
            <w:pPr>
              <w:pStyle w:val="TableBody"/>
            </w:pPr>
            <w:r>
              <w:t>IMCA S13; IOGP S25</w:t>
            </w:r>
          </w:p>
        </w:tc>
        <w:tc>
          <w:tcPr>
            <w:tcW w:type="dxa" w:w="4020"/>
            <w:tcMar>
              <w:top w:w="80" w:type="dxa"/>
              <w:bottom w:w="80" w:type="dxa"/>
              <w:start w:w="120" w:type="dxa"/>
              <w:end w:w="120" w:type="dxa"/>
            </w:tcMar>
            <w:vAlign w:val="center"/>
          </w:tcPr>
          <w:p>
            <w:pPr>
              <w:pStyle w:val="TableBody"/>
            </w:pPr>
            <w:r>
              <w:t>Published tags plus canonical rule vocabulary</w:t>
            </w:r>
          </w:p>
        </w:tc>
      </w:tr>
      <w:tr>
        <w:trPr>
          <w:cantSplit/>
        </w:trPr>
        <w:tc>
          <w:tcPr>
            <w:tcW w:type="dxa" w:w="2550"/>
            <w:tcMar>
              <w:top w:w="80" w:type="dxa"/>
              <w:bottom w:w="80" w:type="dxa"/>
              <w:start w:w="120" w:type="dxa"/>
              <w:end w:w="120" w:type="dxa"/>
            </w:tcMar>
            <w:vAlign w:val="center"/>
          </w:tcPr>
          <w:p>
            <w:pPr>
              <w:pStyle w:val="TableBody"/>
            </w:pPr>
            <w:r>
              <w:t>Bulk data pipeline</w:t>
            </w:r>
          </w:p>
        </w:tc>
        <w:tc>
          <w:tcPr>
            <w:tcW w:type="dxa" w:w="2790"/>
            <w:tcMar>
              <w:top w:w="80" w:type="dxa"/>
              <w:bottom w:w="80" w:type="dxa"/>
              <w:start w:w="120" w:type="dxa"/>
              <w:end w:w="120" w:type="dxa"/>
            </w:tcMar>
            <w:vAlign w:val="center"/>
          </w:tcPr>
          <w:p>
            <w:pPr>
              <w:pStyle w:val="TableBody"/>
            </w:pPr>
            <w:r>
              <w:t>OSHA S07; PHMSA S16</w:t>
            </w:r>
          </w:p>
        </w:tc>
        <w:tc>
          <w:tcPr>
            <w:tcW w:type="dxa" w:w="4020"/>
            <w:tcMar>
              <w:top w:w="80" w:type="dxa"/>
              <w:bottom w:w="80" w:type="dxa"/>
              <w:start w:w="120" w:type="dxa"/>
              <w:end w:w="120" w:type="dxa"/>
            </w:tcMar>
            <w:vAlign w:val="center"/>
          </w:tcPr>
          <w:p>
            <w:pPr>
              <w:pStyle w:val="TableBody"/>
            </w:pPr>
            <w:r>
              <w:t>Downloads with incident-level fields</w:t>
            </w:r>
          </w:p>
        </w:tc>
      </w:tr>
      <w:tr>
        <w:trPr>
          <w:cantSplit/>
        </w:trPr>
        <w:tc>
          <w:tcPr>
            <w:tcW w:type="dxa" w:w="2550"/>
            <w:tcMar>
              <w:top w:w="80" w:type="dxa"/>
              <w:bottom w:w="80" w:type="dxa"/>
              <w:start w:w="120" w:type="dxa"/>
              <w:end w:w="120" w:type="dxa"/>
            </w:tcMar>
            <w:vAlign w:val="center"/>
          </w:tcPr>
          <w:p>
            <w:pPr>
              <w:pStyle w:val="TableBody"/>
            </w:pPr>
            <w:r>
              <w:t>Fast baseline experiment</w:t>
            </w:r>
          </w:p>
        </w:tc>
        <w:tc>
          <w:tcPr>
            <w:tcW w:type="dxa" w:w="2790"/>
            <w:tcMar>
              <w:top w:w="80" w:type="dxa"/>
              <w:bottom w:w="80" w:type="dxa"/>
              <w:start w:w="120" w:type="dxa"/>
              <w:end w:w="120" w:type="dxa"/>
            </w:tcMar>
            <w:vAlign w:val="center"/>
          </w:tcPr>
          <w:p>
            <w:pPr>
              <w:pStyle w:val="TableBody"/>
            </w:pPr>
            <w:r>
              <w:t>Kaggle S18</w:t>
            </w:r>
          </w:p>
        </w:tc>
        <w:tc>
          <w:tcPr>
            <w:tcW w:type="dxa" w:w="4020"/>
            <w:tcMar>
              <w:top w:w="80" w:type="dxa"/>
              <w:bottom w:w="80" w:type="dxa"/>
              <w:start w:w="120" w:type="dxa"/>
              <w:end w:w="120" w:type="dxa"/>
            </w:tcMar>
            <w:vAlign w:val="center"/>
          </w:tcPr>
          <w:p>
            <w:pPr>
              <w:pStyle w:val="TableBody"/>
            </w:pPr>
            <w:r>
              <w:t>Description and potential-severity fields</w:t>
            </w:r>
          </w:p>
        </w:tc>
      </w:tr>
      <w:tr>
        <w:trPr>
          <w:cantSplit/>
        </w:trPr>
        <w:tc>
          <w:tcPr>
            <w:tcW w:type="dxa" w:w="2550"/>
            <w:tcMar>
              <w:top w:w="80" w:type="dxa"/>
              <w:bottom w:w="80" w:type="dxa"/>
              <w:start w:w="120" w:type="dxa"/>
              <w:end w:w="120" w:type="dxa"/>
            </w:tcMar>
            <w:vAlign w:val="center"/>
          </w:tcPr>
          <w:p>
            <w:pPr>
              <w:pStyle w:val="TableBody"/>
            </w:pPr>
            <w:r>
              <w:t>Representative negatives</w:t>
            </w:r>
          </w:p>
        </w:tc>
        <w:tc>
          <w:tcPr>
            <w:tcW w:type="dxa" w:w="2790"/>
            <w:tcMar>
              <w:top w:w="80" w:type="dxa"/>
              <w:bottom w:w="80" w:type="dxa"/>
              <w:start w:w="120" w:type="dxa"/>
              <w:end w:w="120" w:type="dxa"/>
            </w:tcMar>
            <w:vAlign w:val="center"/>
          </w:tcPr>
          <w:p>
            <w:pPr>
              <w:pStyle w:val="TableBody"/>
            </w:pPr>
            <w:r>
              <w:t>Sponsor request, page 13</w:t>
            </w:r>
          </w:p>
        </w:tc>
        <w:tc>
          <w:tcPr>
            <w:tcW w:type="dxa" w:w="4020"/>
            <w:tcMar>
              <w:top w:w="80" w:type="dxa"/>
              <w:bottom w:w="80" w:type="dxa"/>
              <w:start w:w="120" w:type="dxa"/>
              <w:end w:w="120" w:type="dxa"/>
            </w:tcMar>
            <w:vAlign w:val="center"/>
          </w:tcPr>
          <w:p>
            <w:pPr>
              <w:pStyle w:val="TableBody"/>
            </w:pPr>
            <w:r>
              <w:t>Routine observations and reviewed low-potential cases</w:t>
            </w:r>
          </w:p>
        </w:tc>
      </w:tr>
    </w:tbl>
    <w:p>
      <w:pPr>
        <w:pStyle w:val="TableCitation"/>
      </w:pPr>
      <w:r>
        <w:t>Source identifiers refer to the entries on pages 2–11. Priorities and recommended uses are project recommendations, not publisher endorsements.</w:t>
      </w:r>
    </w:p>
    <w:p>
      <w:pPr>
        <w:pStyle w:val="Heading2"/>
      </w:pPr>
      <w:r>
        <w:t>How to read this guide</w:t>
      </w:r>
    </w:p>
    <w:p>
      <w:pPr/>
      <w:r>
        <w:t>The 30 source entries distinguish incident data, label definitions and background statistics. CORE sources are the best first candidates; supporting sources fill gaps. Each entry contains clickable reference links, a suggested use and a material limitation. Pages 12–13 explain labeling and collection.</w:t>
      </w:r>
    </w:p>
    <w:p>
      <w:pPr>
        <w:pStyle w:val="Metadata"/>
      </w:pPr>
      <w:r>
        <w:t>Research verified official pages or indexed publisher records; it did not download and audit every file. Access exceptions are stated. Unless an entry identifies reuse terms, permission for ML training, bulk collection and redistribution remains unverified. Public access alone does not settle those rights.</w:t>
      </w:r>
    </w:p>
    <w:p>
      <w:pPr>
        <w:pStyle w:val="Heading1"/>
        <w:pageBreakBefore/>
      </w:pPr>
      <w:r>
        <w:t>Oil-and-gas narratives: start here</w:t>
      </w:r>
    </w:p>
    <w:p>
      <w:pPr>
        <w:pStyle w:val="SourceHeading"/>
      </w:pPr>
      <w:r>
        <w:t>S01  IOGP high-potential event reports</w:t>
      </w:r>
    </w:p>
    <w:p>
      <w:pPr>
        <w:pStyle w:val="Metadata"/>
      </w:pPr>
      <w:r>
        <w:t>CORE | Incident narratives | Global oil and gas</w:t>
      </w:r>
    </w:p>
    <w:p>
      <w:pPr>
        <w:pStyle w:val="SourceBody"/>
      </w:pPr>
      <w:r>
        <w:rPr>
          <w:b/>
        </w:rPr>
        <w:t xml:space="preserve">Data. </w:t>
      </w:r>
      <w:r>
        <w:t>Company-submitted descriptions of events already classified by contributors as high potential. Report 2025sh was published in June 2026; its listing specifies 120 pages. Earlier annual editions expand the pool.</w:t>
      </w:r>
    </w:p>
    <w:p>
      <w:pPr>
        <w:pStyle w:val="SourceBody"/>
      </w:pPr>
      <w:r>
        <w:rPr>
          <w:b/>
        </w:rPr>
        <w:t xml:space="preserve">Suggested use. </w:t>
      </w:r>
      <w:r>
        <w:t>Best starting point for potential-severity examples and precursor extraction. Preserve the original high-potential label, then map it to your project definition through expert review. The published collection does not supply a representative non-SIF class.</w:t>
      </w:r>
    </w:p>
    <w:p>
      <w:pPr>
        <w:pStyle w:val="SourceBody"/>
      </w:pPr>
      <w:r>
        <w:rPr>
          <w:b/>
        </w:rPr>
        <w:t xml:space="preserve">Access and limits. </w:t>
      </w:r>
      <w:r>
        <w:t>Free report download via a name/email form. Report contents and bulk reuse permissions were not independently audited.</w:t>
      </w:r>
    </w:p>
    <w:p>
      <w:pPr>
        <w:pStyle w:val="Reference"/>
      </w:pPr>
      <w:r>
        <w:rPr>
          <w:b/>
        </w:rPr>
        <w:t xml:space="preserve">Reference: </w:t>
      </w:r>
      <w:hyperlink r:id="rId11">
        <w:r>
          <w:rPr>
            <w:color w:val="1F4D78"/>
            <w:u w:val="single"/>
          </w:rPr>
          <w:t>2025sh: official report and download form</w:t>
        </w:r>
      </w:hyperlink>
    </w:p>
    <w:p>
      <w:pPr>
        <w:pStyle w:val="Reference"/>
      </w:pPr>
      <w:r>
        <w:rPr>
          <w:b/>
        </w:rPr>
        <w:t xml:space="preserve">Reference: </w:t>
      </w:r>
      <w:hyperlink r:id="rId12">
        <w:r>
          <w:rPr>
            <w:color w:val="1F4D78"/>
            <w:u w:val="single"/>
          </w:rPr>
          <w:t>Earlier years: safety performance catalogue</w:t>
        </w:r>
      </w:hyperlink>
    </w:p>
    <w:p>
      <w:pPr>
        <w:pStyle w:val="SourceHeading"/>
      </w:pPr>
      <w:r>
        <w:t>S02  IOGP fatal and permanent-impairment reports</w:t>
      </w:r>
    </w:p>
    <w:p>
      <w:pPr>
        <w:pStyle w:val="Metadata"/>
      </w:pPr>
      <w:r>
        <w:t>CORE | Incident narratives | Global oil and gas</w:t>
      </w:r>
    </w:p>
    <w:p>
      <w:pPr>
        <w:pStyle w:val="SourceBody"/>
      </w:pPr>
      <w:r>
        <w:rPr>
          <w:b/>
        </w:rPr>
        <w:t xml:space="preserve">Data. </w:t>
      </w:r>
      <w:r>
        <w:t>Two useful collections: Report 2025sf contains fatal-incident narratives; Report 2024fpi contains permanent-impairment injury narratives. These describe actual outcomes, unlike the high-potential collection.</w:t>
      </w:r>
    </w:p>
    <w:p>
      <w:pPr>
        <w:pStyle w:val="SourceBody"/>
      </w:pPr>
      <w:r>
        <w:rPr>
          <w:b/>
        </w:rPr>
        <w:t xml:space="preserve">Suggested use. </w:t>
      </w:r>
      <w:r>
        <w:t>Use to identify severe mechanisms, exposures and failed barriers, and to build reviewed positive examples. Keep actual outcome separate from potential outcome; remove outcome-revealing titles from inputs when testing precursor recognition.</w:t>
      </w:r>
    </w:p>
    <w:p>
      <w:pPr>
        <w:pStyle w:val="SourceBody"/>
      </w:pPr>
      <w:r>
        <w:rPr>
          <w:b/>
        </w:rPr>
        <w:t xml:space="preserve">Access and limits. </w:t>
      </w:r>
      <w:r>
        <w:t>Both listings offer free downloads through a name/email form. Collection labels still need harmonisation; these sources do not provide the negative class.</w:t>
      </w:r>
    </w:p>
    <w:p>
      <w:pPr>
        <w:pStyle w:val="Reference"/>
      </w:pPr>
      <w:r>
        <w:rPr>
          <w:b/>
        </w:rPr>
        <w:t xml:space="preserve">Reference: </w:t>
      </w:r>
      <w:hyperlink r:id="rId13">
        <w:r>
          <w:rPr>
            <w:color w:val="1F4D78"/>
            <w:u w:val="single"/>
          </w:rPr>
          <w:t>2025sf: fatal incident reports</w:t>
        </w:r>
      </w:hyperlink>
    </w:p>
    <w:p>
      <w:pPr>
        <w:pStyle w:val="Reference"/>
      </w:pPr>
      <w:r>
        <w:rPr>
          <w:b/>
        </w:rPr>
        <w:t xml:space="preserve">Reference: </w:t>
      </w:r>
      <w:hyperlink r:id="rId14">
        <w:r>
          <w:rPr>
            <w:color w:val="1F4D78"/>
            <w:u w:val="single"/>
          </w:rPr>
          <w:t>2024fpi: permanent impairment reports</w:t>
        </w:r>
      </w:hyperlink>
    </w:p>
    <w:p>
      <w:pPr>
        <w:pStyle w:val="SourceHeading"/>
      </w:pPr>
      <w:r>
        <w:t>S03  IOGP process-safety event narratives</w:t>
      </w:r>
    </w:p>
    <w:p>
      <w:pPr>
        <w:pStyle w:val="Metadata"/>
      </w:pPr>
      <w:r>
        <w:t>CORE | Incident narratives | Process operations</w:t>
      </w:r>
    </w:p>
    <w:p>
      <w:pPr>
        <w:pStyle w:val="SourceBody"/>
      </w:pPr>
      <w:r>
        <w:rPr>
          <w:b/>
        </w:rPr>
        <w:t xml:space="preserve">Data. </w:t>
      </w:r>
      <w:r>
        <w:t>Report 2025pfh contains company-submitted fatal and high-potential process-safety narratives. The official July 2026 listing specifies 136 pages. Older editions are also catalogued.</w:t>
      </w:r>
    </w:p>
    <w:p>
      <w:pPr>
        <w:pStyle w:val="SourceBody"/>
      </w:pPr>
      <w:r>
        <w:rPr>
          <w:b/>
        </w:rPr>
        <w:t xml:space="preserve">Suggested use. </w:t>
      </w:r>
      <w:r>
        <w:t>Use for loss of containment, fire, explosion and process-barrier analysis. Check for overlap with S01/S02. Process-event tiers and personnel SIF potential are different labels; do not substitute one for the other.</w:t>
      </w:r>
    </w:p>
    <w:p>
      <w:pPr>
        <w:pStyle w:val="SourceBody"/>
      </w:pPr>
      <w:r>
        <w:rPr>
          <w:b/>
        </w:rPr>
        <w:t xml:space="preserve">Access and limits. </w:t>
      </w:r>
      <w:r>
        <w:t>The current report is offered free through a name/email form, despite the catalogue saying “Get it now”. Download and inspect individual events before counting usable records.</w:t>
      </w:r>
    </w:p>
    <w:p>
      <w:pPr>
        <w:pStyle w:val="Reference"/>
      </w:pPr>
      <w:r>
        <w:rPr>
          <w:b/>
        </w:rPr>
        <w:t xml:space="preserve">Reference: </w:t>
      </w:r>
      <w:hyperlink r:id="rId15">
        <w:r>
          <w:rPr>
            <w:color w:val="1F4D78"/>
            <w:u w:val="single"/>
          </w:rPr>
          <w:t>2025pfh: official report and download form</w:t>
        </w:r>
      </w:hyperlink>
    </w:p>
    <w:p>
      <w:pPr>
        <w:pStyle w:val="Reference"/>
      </w:pPr>
      <w:r>
        <w:rPr>
          <w:b/>
        </w:rPr>
        <w:t xml:space="preserve">Reference: </w:t>
      </w:r>
      <w:hyperlink r:id="rId16">
        <w:r>
          <w:rPr>
            <w:color w:val="1F4D78"/>
            <w:u w:val="single"/>
          </w:rPr>
          <w:t>Earlier process-safety reports</w:t>
        </w:r>
      </w:hyperlink>
    </w:p>
    <w:p>
      <w:pPr>
        <w:pStyle w:val="Heading1"/>
        <w:pageBreakBefore/>
      </w:pPr>
      <w:r>
        <w:t>Indian incident evidence</w:t>
      </w:r>
    </w:p>
    <w:p>
      <w:pPr>
        <w:pStyle w:val="SourceHeading"/>
      </w:pPr>
      <w:r>
        <w:t>S04  OISD case studies</w:t>
      </w:r>
    </w:p>
    <w:p>
      <w:pPr>
        <w:pStyle w:val="Metadata"/>
      </w:pPr>
      <w:r>
        <w:t>CORE | Incident case studies | India</w:t>
      </w:r>
    </w:p>
    <w:p>
      <w:pPr>
        <w:pStyle w:val="SourceBody"/>
      </w:pPr>
      <w:r>
        <w:rPr>
          <w:b/>
        </w:rPr>
        <w:t xml:space="preserve">Data. </w:t>
      </w:r>
      <w:r>
        <w:t>The Oil Industry Safety Directorate lists current and archived case studies covering wellsites, drilling equipment, maintenance, storage, pipelines, falls, fires and explosions. Each entry has a case identifier and attachment link.</w:t>
      </w:r>
    </w:p>
    <w:p>
      <w:pPr>
        <w:pStyle w:val="SourceBody"/>
      </w:pPr>
      <w:r>
        <w:rPr>
          <w:b/>
        </w:rPr>
        <w:t xml:space="preserve">Suggested use. </w:t>
      </w:r>
      <w:r>
        <w:t>Prioritise these for Indian petroleum terminology and realistic operating situations. Extract event facts, failed safeguards, contributing factors and recommendations into separate fields; assign SIF and rule labels manually.</w:t>
      </w:r>
    </w:p>
    <w:p>
      <w:pPr>
        <w:pStyle w:val="SourceBody"/>
      </w:pPr>
      <w:r>
        <w:rPr>
          <w:b/>
        </w:rPr>
        <w:t xml:space="preserve">Access and limits. </w:t>
      </w:r>
      <w:r>
        <w:t>The official indexed catalogue was verified. Direct retrieval timed out/returned a gateway error during this research; individual attachment access is untested. No blanket ML reuse licence was established.</w:t>
      </w:r>
    </w:p>
    <w:p>
      <w:pPr>
        <w:pStyle w:val="Reference"/>
      </w:pPr>
      <w:r>
        <w:rPr>
          <w:b/>
        </w:rPr>
        <w:t xml:space="preserve">Reference: </w:t>
      </w:r>
      <w:hyperlink r:id="rId17">
        <w:r>
          <w:rPr>
            <w:color w:val="1F4D78"/>
            <w:u w:val="single"/>
          </w:rPr>
          <w:t>OISD: current and archived case studies</w:t>
        </w:r>
      </w:hyperlink>
    </w:p>
    <w:p>
      <w:pPr>
        <w:pStyle w:val="SourceHeading"/>
      </w:pPr>
      <w:r>
        <w:t>S05  PNGRB incident analysis reports</w:t>
      </w:r>
    </w:p>
    <w:p>
      <w:pPr>
        <w:pStyle w:val="Metadata"/>
      </w:pPr>
      <w:r>
        <w:t>CORE | Investigation reports | India</w:t>
      </w:r>
    </w:p>
    <w:p>
      <w:pPr>
        <w:pStyle w:val="SourceBody"/>
      </w:pPr>
      <w:r>
        <w:rPr>
          <w:b/>
        </w:rPr>
        <w:t xml:space="preserve">Data. </w:t>
      </w:r>
      <w:r>
        <w:t>The Petroleum and Natural Gas Regulatory Board incident-analysis catalogue links investigations of refinery, LPG, CNG, terminal and related petroleum incidents. Indexed entries include Haldia refinery and Ujjain LPG bottling incidents.</w:t>
      </w:r>
    </w:p>
    <w:p>
      <w:pPr>
        <w:pStyle w:val="SourceBody"/>
      </w:pPr>
      <w:r>
        <w:rPr>
          <w:b/>
        </w:rPr>
        <w:t xml:space="preserve">Suggested use. </w:t>
      </w:r>
      <w:r>
        <w:t>Use for Indian process-safety cases, incident sequences and control failures. Keep the report as evidence and create a separate reviewed annotation. Several reports can refer to events also covered by OISD.</w:t>
      </w:r>
    </w:p>
    <w:p>
      <w:pPr>
        <w:pStyle w:val="SourceBody"/>
      </w:pPr>
      <w:r>
        <w:rPr>
          <w:b/>
        </w:rPr>
        <w:t xml:space="preserve">Access and limits. </w:t>
      </w:r>
      <w:r>
        <w:t>Public catalogue; the live table is dynamically loaded and the research reader showed only its shell. Indexed entries were visible, but individual PDF downloads were not tested.</w:t>
      </w:r>
    </w:p>
    <w:p>
      <w:pPr>
        <w:pStyle w:val="Reference"/>
      </w:pPr>
      <w:r>
        <w:rPr>
          <w:b/>
        </w:rPr>
        <w:t xml:space="preserve">Reference: </w:t>
      </w:r>
      <w:hyperlink r:id="rId18">
        <w:r>
          <w:rPr>
            <w:color w:val="1F4D78"/>
            <w:u w:val="single"/>
          </w:rPr>
          <w:t>PNGRB: ERDMP incident analysis</w:t>
        </w:r>
      </w:hyperlink>
    </w:p>
    <w:p>
      <w:pPr>
        <w:pStyle w:val="SourceHeading"/>
      </w:pPr>
      <w:r>
        <w:t>S06  DGMS technical circulars and oil-mine rules</w:t>
      </w:r>
    </w:p>
    <w:p>
      <w:pPr>
        <w:pStyle w:val="Metadata"/>
      </w:pPr>
      <w:r>
        <w:t>SUPPORTING | Guidance and selected lessons | India</w:t>
      </w:r>
    </w:p>
    <w:p>
      <w:pPr>
        <w:pStyle w:val="SourceBody"/>
      </w:pPr>
      <w:r>
        <w:rPr>
          <w:b/>
        </w:rPr>
        <w:t xml:space="preserve">Data. </w:t>
      </w:r>
      <w:r>
        <w:t>The official Directorate General of Mines Safety circular archive includes technical notices on falls, equipment, electrical safety and oilfield work. Its main site links the Oil Mines Regulations and other safety legislation.</w:t>
      </w:r>
    </w:p>
    <w:p>
      <w:pPr>
        <w:pStyle w:val="SourceBody"/>
      </w:pPr>
      <w:r>
        <w:rPr>
          <w:b/>
        </w:rPr>
        <w:t xml:space="preserve">Suggested use. </w:t>
      </w:r>
      <w:r>
        <w:t>Use relevant circulars as retrieval material and to define hazards/barriers. Convert a circular into an incident record only when it actually describes a specific event. Filter out unrelated coal/mineral topics.</w:t>
      </w:r>
    </w:p>
    <w:p>
      <w:pPr>
        <w:pStyle w:val="SourceBody"/>
      </w:pPr>
      <w:r>
        <w:rPr>
          <w:b/>
        </w:rPr>
        <w:t xml:space="preserve">Access and limits. </w:t>
      </w:r>
      <w:r>
        <w:t>Public HTML and PDF links. Check each document’s date, amendment status and applicability. Use the official dgms.gov.in domain; the similarly named dgms.net site identifies itself as unofficial.</w:t>
      </w:r>
    </w:p>
    <w:p>
      <w:pPr>
        <w:pStyle w:val="Reference"/>
      </w:pPr>
      <w:r>
        <w:rPr>
          <w:b/>
        </w:rPr>
        <w:t xml:space="preserve">Reference: </w:t>
      </w:r>
      <w:hyperlink r:id="rId19">
        <w:r>
          <w:rPr>
            <w:color w:val="1F4D78"/>
            <w:u w:val="single"/>
          </w:rPr>
          <w:t>DGMS: circular archive</w:t>
        </w:r>
      </w:hyperlink>
    </w:p>
    <w:p>
      <w:pPr>
        <w:pStyle w:val="Reference"/>
      </w:pPr>
      <w:r>
        <w:rPr>
          <w:b/>
        </w:rPr>
        <w:t xml:space="preserve">Reference: </w:t>
      </w:r>
      <w:hyperlink r:id="rId20">
        <w:r>
          <w:rPr>
            <w:color w:val="1F4D78"/>
            <w:u w:val="single"/>
          </w:rPr>
          <w:t>DGMS: official rules and resources</w:t>
        </w:r>
      </w:hyperlink>
    </w:p>
    <w:p>
      <w:pPr>
        <w:pStyle w:val="Heading1"/>
        <w:pageBreakBefore/>
      </w:pPr>
      <w:r>
        <w:t>US occupational injury data</w:t>
      </w:r>
    </w:p>
    <w:p>
      <w:pPr>
        <w:pStyle w:val="SourceHeading"/>
      </w:pPr>
      <w:r>
        <w:t>S07  OSHA Severe Injury Reports</w:t>
      </w:r>
    </w:p>
    <w:p>
      <w:pPr>
        <w:pStyle w:val="Metadata"/>
      </w:pPr>
      <w:r>
        <w:t>CORE | Bulk dataset with narratives | United States</w:t>
      </w:r>
    </w:p>
    <w:p>
      <w:pPr>
        <w:pStyle w:val="SourceBody"/>
      </w:pPr>
      <w:r>
        <w:rPr>
          <w:b/>
        </w:rPr>
        <w:t xml:space="preserve">Data. </w:t>
      </w:r>
      <w:r>
        <w:t>Downloadable incident records include descriptions and injury classifications. The dashboard checked for this guide advertises coverage from 1 January 2015 to 30 November 2025. Reports concern hospitalisation, amputation or eye loss.</w:t>
      </w:r>
    </w:p>
    <w:p>
      <w:pPr>
        <w:pStyle w:val="SourceBody"/>
      </w:pPr>
      <w:r>
        <w:rPr>
          <w:b/>
        </w:rPr>
        <w:t xml:space="preserve">Suggested use. </w:t>
      </w:r>
      <w:r>
        <w:t>A practical source for text extraction and classification pipelines. Filter by petroleum-related industry and hazard terms. Preserve incident dates and source identifiers for deduplication.</w:t>
      </w:r>
    </w:p>
    <w:p>
      <w:pPr>
        <w:pStyle w:val="SourceBody"/>
      </w:pPr>
      <w:r>
        <w:rPr>
          <w:b/>
        </w:rPr>
        <w:t xml:space="preserve">Access and limits. </w:t>
      </w:r>
      <w:r>
        <w:t>The official bulk ZIP link is available. Coverage is federal OSHA jurisdiction, excludes State Plan jurisdictions, and excludes fatalities. It is not a near-miss corpus or an existing SIF-labeled dataset.</w:t>
      </w:r>
    </w:p>
    <w:p>
      <w:pPr>
        <w:pStyle w:val="Reference"/>
      </w:pPr>
      <w:r>
        <w:rPr>
          <w:b/>
        </w:rPr>
        <w:t xml:space="preserve">Reference: </w:t>
      </w:r>
      <w:hyperlink r:id="rId21">
        <w:r>
          <w:rPr>
            <w:color w:val="1F4D78"/>
            <w:u w:val="single"/>
          </w:rPr>
          <w:t>OSHA: dashboard and current downloads</w:t>
        </w:r>
      </w:hyperlink>
    </w:p>
    <w:p>
      <w:pPr>
        <w:pStyle w:val="Reference"/>
      </w:pPr>
      <w:r>
        <w:rPr>
          <w:b/>
        </w:rPr>
        <w:t xml:space="preserve">Reference: </w:t>
      </w:r>
      <w:hyperlink r:id="rId22">
        <w:r>
          <w:rPr>
            <w:color w:val="1F4D78"/>
            <w:u w:val="single"/>
          </w:rPr>
          <w:t>Bulk ZIP linked by OSHA at research time</w:t>
        </w:r>
      </w:hyperlink>
    </w:p>
    <w:p>
      <w:pPr>
        <w:pStyle w:val="SourceHeading"/>
      </w:pPr>
      <w:r>
        <w:t>S08  OSHA investigation summaries</w:t>
      </w:r>
    </w:p>
    <w:p>
      <w:pPr>
        <w:pStyle w:val="Metadata"/>
      </w:pPr>
      <w:r>
        <w:t>CORE | Searchable accident narratives | United States</w:t>
      </w:r>
    </w:p>
    <w:p>
      <w:pPr>
        <w:pStyle w:val="SourceBody"/>
      </w:pPr>
      <w:r>
        <w:rPr>
          <w:b/>
        </w:rPr>
        <w:t xml:space="preserve">Data. </w:t>
      </w:r>
      <w:r>
        <w:t>Completed investigations provide incident descriptions, preceding events and causal factors. The official search supports keywords, dates, industry codes and inspection numbers, with completed summaries dating back to 1984.</w:t>
      </w:r>
    </w:p>
    <w:p>
      <w:pPr>
        <w:pStyle w:val="SourceBody"/>
      </w:pPr>
      <w:r>
        <w:rPr>
          <w:b/>
        </w:rPr>
        <w:t xml:space="preserve">Suggested use. </w:t>
      </w:r>
      <w:r>
        <w:t>Use for equipment, energy-isolation, confined-space, lifting and fall scenarios. Retain inspection/summary IDs and check overlap with Severe Injury Reports and FACE.</w:t>
      </w:r>
    </w:p>
    <w:p>
      <w:pPr>
        <w:pStyle w:val="SourceBody"/>
      </w:pPr>
      <w:r>
        <w:rPr>
          <w:b/>
        </w:rPr>
        <w:t xml:space="preserve">Access and limits. </w:t>
      </w:r>
      <w:r>
        <w:t>Public searchable HTML. The search page is not a confirmed bulk narrative export; collect through supported access routes. Investigation selection and publication delays make the collection unrepresentative of all workplace events.</w:t>
      </w:r>
    </w:p>
    <w:p>
      <w:pPr>
        <w:pStyle w:val="Reference"/>
      </w:pPr>
      <w:r>
        <w:rPr>
          <w:b/>
        </w:rPr>
        <w:t xml:space="preserve">Reference: </w:t>
      </w:r>
      <w:hyperlink r:id="rId23">
        <w:r>
          <w:rPr>
            <w:color w:val="1F4D78"/>
            <w:u w:val="single"/>
          </w:rPr>
          <w:t>OSHA: investigation summaries search</w:t>
        </w:r>
      </w:hyperlink>
    </w:p>
    <w:p>
      <w:pPr>
        <w:pStyle w:val="Reference"/>
      </w:pPr>
      <w:r>
        <w:rPr>
          <w:b/>
        </w:rPr>
        <w:t xml:space="preserve">Reference: </w:t>
      </w:r>
      <w:hyperlink r:id="rId24">
        <w:r>
          <w:rPr>
            <w:color w:val="1F4D78"/>
            <w:u w:val="single"/>
          </w:rPr>
          <w:t>OSHA: search and field help</w:t>
        </w:r>
      </w:hyperlink>
    </w:p>
    <w:p>
      <w:pPr>
        <w:pStyle w:val="SourceHeading"/>
      </w:pPr>
      <w:r>
        <w:t>S09  NIOSH and State FACE reports</w:t>
      </w:r>
    </w:p>
    <w:p>
      <w:pPr>
        <w:pStyle w:val="Metadata"/>
      </w:pPr>
      <w:r>
        <w:t>CORE | Detailed fatality investigations | United States</w:t>
      </w:r>
    </w:p>
    <w:p>
      <w:pPr>
        <w:pStyle w:val="SourceBody"/>
      </w:pPr>
      <w:r>
        <w:rPr>
          <w:b/>
        </w:rPr>
        <w:t xml:space="preserve">Data. </w:t>
      </w:r>
      <w:r>
        <w:t>The Fatality Assessment and Control Evaluation programme publishes workplace fatality investigations and prevention recommendations. The current page directs older reports to CDC Stacks and lists newer State FACE reports.</w:t>
      </w:r>
    </w:p>
    <w:p>
      <w:pPr>
        <w:pStyle w:val="SourceBody"/>
      </w:pPr>
      <w:r>
        <w:rPr>
          <w:b/>
        </w:rPr>
        <w:t xml:space="preserve">Suggested use. </w:t>
      </w:r>
      <w:r>
        <w:t>Useful for evidence-backed annotations of task, hazardous exposure and failed controls. Select industrial cases, then retain the narrative and page-level evidence for each label.</w:t>
      </w:r>
    </w:p>
    <w:p>
      <w:pPr>
        <w:pStyle w:val="SourceBody"/>
      </w:pPr>
      <w:r>
        <w:rPr>
          <w:b/>
        </w:rPr>
        <w:t xml:space="preserve">Access and limits. </w:t>
      </w:r>
      <w:r>
        <w:t>Public reports, usually PDFs. Fatality-focused and selectively investigated; not balanced training data. State-authored material may carry different reuse conditions from federally authored material.</w:t>
      </w:r>
    </w:p>
    <w:p>
      <w:pPr>
        <w:pStyle w:val="Reference"/>
      </w:pPr>
      <w:r>
        <w:rPr>
          <w:b/>
        </w:rPr>
        <w:t xml:space="preserve">Reference: </w:t>
      </w:r>
      <w:hyperlink r:id="rId25">
        <w:r>
          <w:rPr>
            <w:color w:val="1F4D78"/>
            <w:u w:val="single"/>
          </w:rPr>
          <w:t>CDC: FACE reports and archive route</w:t>
        </w:r>
      </w:hyperlink>
    </w:p>
    <w:p>
      <w:pPr>
        <w:pStyle w:val="Heading1"/>
        <w:pageBreakBefore/>
      </w:pPr>
      <w:r>
        <w:t>Offshore and process investigations</w:t>
      </w:r>
    </w:p>
    <w:p>
      <w:pPr>
        <w:pStyle w:val="SourceHeading"/>
      </w:pPr>
      <w:r>
        <w:t>S10  BSEE safety alerts</w:t>
      </w:r>
    </w:p>
    <w:p>
      <w:pPr>
        <w:pStyle w:val="Metadata"/>
      </w:pPr>
      <w:r>
        <w:t>CORE | Incidents and near misses | US offshore energy</w:t>
      </w:r>
    </w:p>
    <w:p>
      <w:pPr>
        <w:pStyle w:val="SourceBody"/>
      </w:pPr>
      <w:r>
        <w:rPr>
          <w:b/>
        </w:rPr>
        <w:t xml:space="preserve">Data. </w:t>
      </w:r>
      <w:r>
        <w:t>BSEE safety alerts describe incidents or near misses and give prevention recommendations. The searchable archive includes lifting, equipment, fire, electrical, personnel-safety and other categories.</w:t>
      </w:r>
    </w:p>
    <w:p>
      <w:pPr>
        <w:pStyle w:val="SourceBody"/>
      </w:pPr>
      <w:r>
        <w:rPr>
          <w:b/>
        </w:rPr>
        <w:t xml:space="preserve">Suggested use. </w:t>
      </w:r>
      <w:r>
        <w:t>Use concise alerts as annotation units for precursor extraction. High-potential near misses are especially useful. Keep the alert number and original incident reference; alerts may summarise investigations listed in S11.</w:t>
      </w:r>
    </w:p>
    <w:p>
      <w:pPr>
        <w:pStyle w:val="SourceBody"/>
      </w:pPr>
      <w:r>
        <w:rPr>
          <w:b/>
        </w:rPr>
        <w:t xml:space="preserve">Access and limits. </w:t>
      </w:r>
      <w:r>
        <w:t>Public archive with linked documents. Labels and detail vary by alert; not every alert describes one unique event. Recommendations must not be treated as evidence that a control existed before the incident.</w:t>
      </w:r>
    </w:p>
    <w:p>
      <w:pPr>
        <w:pStyle w:val="Reference"/>
      </w:pPr>
      <w:r>
        <w:rPr>
          <w:b/>
        </w:rPr>
        <w:t xml:space="preserve">Reference: </w:t>
      </w:r>
      <w:hyperlink r:id="rId26">
        <w:r>
          <w:rPr>
            <w:color w:val="1F4D78"/>
            <w:u w:val="single"/>
          </w:rPr>
          <w:t>BSEE: safety alerts archive</w:t>
        </w:r>
      </w:hyperlink>
    </w:p>
    <w:p>
      <w:pPr>
        <w:pStyle w:val="SourceHeading"/>
      </w:pPr>
      <w:r>
        <w:t>S11  BSEE panel and district investigations</w:t>
      </w:r>
    </w:p>
    <w:p>
      <w:pPr>
        <w:pStyle w:val="Metadata"/>
      </w:pPr>
      <w:r>
        <w:t>CORE | Detailed incident reports | US offshore oil and gas</w:t>
      </w:r>
    </w:p>
    <w:p>
      <w:pPr>
        <w:pStyle w:val="SourceBody"/>
      </w:pPr>
      <w:r>
        <w:rPr>
          <w:b/>
        </w:rPr>
        <w:t xml:space="preserve">Data. </w:t>
      </w:r>
      <w:r>
        <w:t>BSEE publishes investigation findings on offshore incidents. Panel reports contain facts, circumstances, causes and recommendations; the programme also links district investigations.</w:t>
      </w:r>
    </w:p>
    <w:p>
      <w:pPr>
        <w:pStyle w:val="SourceBody"/>
      </w:pPr>
      <w:r>
        <w:rPr>
          <w:b/>
        </w:rPr>
        <w:t xml:space="preserve">Suggested use. </w:t>
      </w:r>
      <w:r>
        <w:t>Use for drilling, workover, pipe handling, well control and barrier-management examples. Extract what was known before/during the event separately from investigators’ later conclusions.</w:t>
      </w:r>
    </w:p>
    <w:p>
      <w:pPr>
        <w:pStyle w:val="SourceBody"/>
      </w:pPr>
      <w:r>
        <w:rPr>
          <w:b/>
        </w:rPr>
        <w:t xml:space="preserve">Access and limits. </w:t>
      </w:r>
      <w:r>
        <w:t>Public report indices and PDFs. Serious-event selection creates class bias. One investigation can be republished as a safety alert or discussed by IMCA, so split data by underlying event.</w:t>
      </w:r>
    </w:p>
    <w:p>
      <w:pPr>
        <w:pStyle w:val="Reference"/>
      </w:pPr>
      <w:r>
        <w:rPr>
          <w:b/>
        </w:rPr>
        <w:t xml:space="preserve">Reference: </w:t>
      </w:r>
      <w:hyperlink r:id="rId27">
        <w:r>
          <w:rPr>
            <w:color w:val="1F4D78"/>
            <w:u w:val="single"/>
          </w:rPr>
          <w:t>BSEE: investigations and district-report route</w:t>
        </w:r>
      </w:hyperlink>
    </w:p>
    <w:p>
      <w:pPr>
        <w:pStyle w:val="Reference"/>
      </w:pPr>
      <w:r>
        <w:rPr>
          <w:b/>
        </w:rPr>
        <w:t xml:space="preserve">Reference: </w:t>
      </w:r>
      <w:hyperlink r:id="rId28">
        <w:r>
          <w:rPr>
            <w:color w:val="1F4D78"/>
            <w:u w:val="single"/>
          </w:rPr>
          <w:t>BSEE: panel report catalogue</w:t>
        </w:r>
      </w:hyperlink>
    </w:p>
    <w:p>
      <w:pPr>
        <w:pStyle w:val="SourceHeading"/>
      </w:pPr>
      <w:r>
        <w:t>S12  US Chemical Safety Board investigations</w:t>
      </w:r>
    </w:p>
    <w:p>
      <w:pPr>
        <w:pStyle w:val="Metadata"/>
      </w:pPr>
      <w:r>
        <w:t>CORE | Completed investigation reports | Process industries</w:t>
      </w:r>
    </w:p>
    <w:p>
      <w:pPr>
        <w:pStyle w:val="SourceBody"/>
      </w:pPr>
      <w:r>
        <w:rPr>
          <w:b/>
        </w:rPr>
        <w:t xml:space="preserve">Data. </w:t>
      </w:r>
      <w:r>
        <w:t>The CSB completed-investigations catalogue links chemical and process-incident reports. The archive covers fires, explosions and releases across refining and other process industries.</w:t>
      </w:r>
    </w:p>
    <w:p>
      <w:pPr>
        <w:pStyle w:val="SourceBody"/>
      </w:pPr>
      <w:r>
        <w:rPr>
          <w:b/>
        </w:rPr>
        <w:t xml:space="preserve">Suggested use. </w:t>
      </w:r>
      <w:r>
        <w:t>Useful for causal analysis, failed safeguards and evidence-grounded explanations. For a prototype, prefer completed reports to developing investigations whose conclusions may change.</w:t>
      </w:r>
    </w:p>
    <w:p>
      <w:pPr>
        <w:pStyle w:val="SourceBody"/>
      </w:pPr>
      <w:r>
        <w:rPr>
          <w:b/>
        </w:rPr>
        <w:t xml:space="preserve">Access and limits. </w:t>
      </w:r>
      <w:r>
        <w:t>Public reports and supporting material. Not oil-and-gas-only and not a representative sample of routine operations. Check rights on embedded third-party material; keep cases separate from videos and summaries of the same event.</w:t>
      </w:r>
    </w:p>
    <w:p>
      <w:pPr>
        <w:pStyle w:val="Reference"/>
      </w:pPr>
      <w:r>
        <w:rPr>
          <w:b/>
        </w:rPr>
        <w:t xml:space="preserve">Reference: </w:t>
      </w:r>
      <w:hyperlink r:id="rId29">
        <w:r>
          <w:rPr>
            <w:color w:val="1F4D78"/>
            <w:u w:val="single"/>
          </w:rPr>
          <w:t>CSB: completed investigations</w:t>
        </w:r>
      </w:hyperlink>
    </w:p>
    <w:p>
      <w:pPr>
        <w:pStyle w:val="Heading1"/>
        <w:pageBreakBefore/>
      </w:pPr>
      <w:r>
        <w:t>Industry alerts with practical labels</w:t>
      </w:r>
    </w:p>
    <w:p>
      <w:pPr>
        <w:pStyle w:val="SourceHeading"/>
      </w:pPr>
      <w:r>
        <w:t>S13  IMCA Safety Flashes</w:t>
      </w:r>
    </w:p>
    <w:p>
      <w:pPr>
        <w:pStyle w:val="Metadata"/>
      </w:pPr>
      <w:r>
        <w:t>CORE | Incident narratives with rule tags | Marine/offshore</w:t>
      </w:r>
    </w:p>
    <w:p>
      <w:pPr>
        <w:pStyle w:val="SourceBody"/>
      </w:pPr>
      <w:r>
        <w:rPr>
          <w:b/>
        </w:rPr>
        <w:t xml:space="preserve">Data. </w:t>
      </w:r>
      <w:r>
        <w:t>IMCA’s public archive explicitly tags Safety Flashes by Life-Saving Rule and offers individual PDF downloads. It includes injuries, near misses, unsafe conditions and selected good-practice examples.</w:t>
      </w:r>
    </w:p>
    <w:p>
      <w:pPr>
        <w:pStyle w:val="SourceBody"/>
      </w:pPr>
      <w:r>
        <w:rPr>
          <w:b/>
        </w:rPr>
        <w:t xml:space="preserve">Suggested use. </w:t>
      </w:r>
      <w:r>
        <w:t>One of the strongest starting points for multi-label rule tagging. Preserve published tags as source labels, then review them. A topic tag indicates relevance; it does not automatically establish a confirmed rule breach.</w:t>
      </w:r>
    </w:p>
    <w:p>
      <w:pPr>
        <w:pStyle w:val="SourceBody"/>
      </w:pPr>
      <w:r>
        <w:rPr>
          <w:b/>
        </w:rPr>
        <w:t xml:space="preserve">Access and limits. </w:t>
      </w:r>
      <w:r>
        <w:t>Freely shared for industry learning; unrestricted ML reuse was not established. The archive is undergoing migration and shows inconsistent counters, so no dependable record count is claimed here.</w:t>
      </w:r>
    </w:p>
    <w:p>
      <w:pPr>
        <w:pStyle w:val="Reference"/>
      </w:pPr>
      <w:r>
        <w:rPr>
          <w:b/>
        </w:rPr>
        <w:t xml:space="preserve">Reference: </w:t>
      </w:r>
      <w:hyperlink r:id="rId30">
        <w:r>
          <w:rPr>
            <w:color w:val="1F4D78"/>
            <w:u w:val="single"/>
          </w:rPr>
          <w:t>IMCA: searchable Safety Flash archive</w:t>
        </w:r>
      </w:hyperlink>
    </w:p>
    <w:p>
      <w:pPr>
        <w:pStyle w:val="SourceHeading"/>
      </w:pPr>
      <w:r>
        <w:t>S14  Energy Institute Toolbox</w:t>
      </w:r>
    </w:p>
    <w:p>
      <w:pPr>
        <w:pStyle w:val="Metadata"/>
      </w:pPr>
      <w:r>
        <w:t>CORE | Short incident lessons | Global energy</w:t>
      </w:r>
    </w:p>
    <w:p>
      <w:pPr>
        <w:pStyle w:val="SourceBody"/>
      </w:pPr>
      <w:r>
        <w:rPr>
          <w:b/>
        </w:rPr>
        <w:t xml:space="preserve">Data. </w:t>
      </w:r>
      <w:r>
        <w:t>Toolbox provides incident lessons and safety information shared by energy companies. Content can be browsed by work activity or high-risk situation; supporting campaign resources group several relevant hazard themes.</w:t>
      </w:r>
    </w:p>
    <w:p>
      <w:pPr>
        <w:pStyle w:val="SourceBody"/>
      </w:pPr>
      <w:r>
        <w:rPr>
          <w:b/>
        </w:rPr>
        <w:t xml:space="preserve">Suggested use. </w:t>
      </w:r>
      <w:r>
        <w:t>Use for concise training examples, hazard vocabulary and a retrieval knowledge base. Retain each lesson’s original source and distinguish the event description from discussion questions and recommended actions.</w:t>
      </w:r>
    </w:p>
    <w:p>
      <w:pPr>
        <w:pStyle w:val="SourceBody"/>
      </w:pPr>
      <w:r>
        <w:rPr>
          <w:b/>
        </w:rPr>
        <w:t xml:space="preserve">Access and limits. </w:t>
      </w:r>
      <w:r>
        <w:t>The publisher describes Toolbox as free to use. Indexed content was verified, but direct retrieval timed out. Free workplace use does not establish permission for bulk scraping, redistribution or ML training.</w:t>
      </w:r>
    </w:p>
    <w:p>
      <w:pPr>
        <w:pStyle w:val="Reference"/>
      </w:pPr>
      <w:r>
        <w:rPr>
          <w:b/>
        </w:rPr>
        <w:t xml:space="preserve">Reference: </w:t>
      </w:r>
      <w:hyperlink r:id="rId31">
        <w:r>
          <w:rPr>
            <w:color w:val="1F4D78"/>
            <w:u w:val="single"/>
          </w:rPr>
          <w:t>Toolbox: publisher description and access</w:t>
        </w:r>
      </w:hyperlink>
    </w:p>
    <w:p>
      <w:pPr>
        <w:pStyle w:val="Reference"/>
      </w:pPr>
      <w:r>
        <w:rPr>
          <w:b/>
        </w:rPr>
        <w:t xml:space="preserve">Reference: </w:t>
      </w:r>
      <w:hyperlink r:id="rId32">
        <w:r>
          <w:rPr>
            <w:color w:val="1F4D78"/>
            <w:u w:val="single"/>
          </w:rPr>
          <w:t>Toolbox: grouped safety resources</w:t>
        </w:r>
      </w:hyperlink>
    </w:p>
    <w:p>
      <w:pPr>
        <w:pStyle w:val="SourceHeading"/>
      </w:pPr>
      <w:r>
        <w:t>S15  Step Change in Safety alerts and learnings</w:t>
      </w:r>
    </w:p>
    <w:p>
      <w:pPr>
        <w:pStyle w:val="Metadata"/>
      </w:pPr>
      <w:r>
        <w:t>CORE | Alerts, learning moments and good practice | Energy</w:t>
      </w:r>
    </w:p>
    <w:p>
      <w:pPr>
        <w:pStyle w:val="SourceBody"/>
      </w:pPr>
      <w:r>
        <w:rPr>
          <w:b/>
        </w:rPr>
        <w:t xml:space="preserve">Data. </w:t>
      </w:r>
      <w:r>
        <w:t>A searchable catalogue with causes/consequences, type and contributing-factor filters. Older items move into an archive. Some entries explicitly republish IMCA, BSEE or Marine Safety Forum material.</w:t>
      </w:r>
    </w:p>
    <w:p>
      <w:pPr>
        <w:pStyle w:val="SourceBody"/>
      </w:pPr>
      <w:r>
        <w:rPr>
          <w:b/>
        </w:rPr>
        <w:t xml:space="preserve">Suggested use. </w:t>
      </w:r>
      <w:r>
        <w:t>Useful for near misses, control failures and short operational narratives. Separate factual incident alerts from learning exercises, and trace republished content back to its first source.</w:t>
      </w:r>
    </w:p>
    <w:p>
      <w:pPr>
        <w:pStyle w:val="SourceBody"/>
      </w:pPr>
      <w:r>
        <w:rPr>
          <w:b/>
        </w:rPr>
        <w:t xml:space="preserve">Access and limits. </w:t>
      </w:r>
      <w:r>
        <w:t>Public catalogue and archive route. Review item-level rights. Cross-publisher deduplication is essential; otherwise the same event can enter both training and evaluation under different titles.</w:t>
      </w:r>
    </w:p>
    <w:p>
      <w:pPr>
        <w:pStyle w:val="Reference"/>
      </w:pPr>
      <w:r>
        <w:rPr>
          <w:b/>
        </w:rPr>
        <w:t xml:space="preserve">Reference: </w:t>
      </w:r>
      <w:hyperlink r:id="rId33">
        <w:r>
          <w:rPr>
            <w:color w:val="1F4D78"/>
            <w:u w:val="single"/>
          </w:rPr>
          <w:t>Step Change: alerts, filters and archive</w:t>
        </w:r>
      </w:hyperlink>
    </w:p>
    <w:p>
      <w:pPr>
        <w:pStyle w:val="Heading1"/>
        <w:pageBreakBefore/>
      </w:pPr>
      <w:r>
        <w:t>Downloadable datasets to prototype with</w:t>
      </w:r>
    </w:p>
    <w:p>
      <w:pPr>
        <w:pStyle w:val="SourceHeading"/>
      </w:pPr>
      <w:r>
        <w:t>S16  PHMSA pipeline incident data</w:t>
      </w:r>
    </w:p>
    <w:p>
      <w:pPr>
        <w:pStyle w:val="Metadata"/>
      </w:pPr>
      <w:r>
        <w:t>CORE / EXTENSION | Bulk structured records | US pipelines and LNG</w:t>
      </w:r>
    </w:p>
    <w:p>
      <w:pPr>
        <w:pStyle w:val="SourceBody"/>
      </w:pPr>
      <w:r>
        <w:rPr>
          <w:b/>
        </w:rPr>
        <w:t xml:space="preserve">Data. </w:t>
      </w:r>
      <w:r>
        <w:t>Official ZIP files contain tab-delimited incident data plus field descriptions. Collections cover hazardous liquids, gas distribution, transmission/gathering and LNG. Fields include event details, releases, injuries and causes.</w:t>
      </w:r>
    </w:p>
    <w:p>
      <w:pPr>
        <w:pStyle w:val="SourceBody"/>
      </w:pPr>
      <w:r>
        <w:rPr>
          <w:b/>
        </w:rPr>
        <w:t xml:space="preserve">Suggested use. </w:t>
      </w:r>
      <w:r>
        <w:t>Useful for pipeline-specific examples and a structured dashboard. Inspect the chosen file’s schema before assuming narrative coverage. Keep reporting period and system type, since forms and criteria changed over time.</w:t>
      </w:r>
    </w:p>
    <w:p>
      <w:pPr>
        <w:pStyle w:val="SourceBody"/>
      </w:pPr>
      <w:r>
        <w:rPr>
          <w:b/>
        </w:rPr>
        <w:t xml:space="preserve">Access and limits. </w:t>
      </w:r>
      <w:r>
        <w:t>Public bulk downloads. Actual harm and reporting thresholds are not SIF-potential labels. “Flagged files” support official trend analysis and should not be mixed with raw submissions without understanding their filters.</w:t>
      </w:r>
    </w:p>
    <w:p>
      <w:pPr>
        <w:pStyle w:val="Reference"/>
      </w:pPr>
      <w:r>
        <w:rPr>
          <w:b/>
        </w:rPr>
        <w:t xml:space="preserve">Reference: </w:t>
      </w:r>
      <w:hyperlink r:id="rId34">
        <w:r>
          <w:rPr>
            <w:color w:val="1F4D78"/>
            <w:u w:val="single"/>
          </w:rPr>
          <w:t>PHMSA: bulk incident files and dictionaries</w:t>
        </w:r>
      </w:hyperlink>
    </w:p>
    <w:p>
      <w:pPr>
        <w:pStyle w:val="Reference"/>
      </w:pPr>
      <w:r>
        <w:rPr>
          <w:b/>
        </w:rPr>
        <w:t xml:space="preserve">Reference: </w:t>
      </w:r>
      <w:hyperlink r:id="rId35">
        <w:r>
          <w:rPr>
            <w:color w:val="1F4D78"/>
            <w:u w:val="single"/>
          </w:rPr>
          <w:t>PHMSA: flagged-file definitions</w:t>
        </w:r>
      </w:hyperlink>
    </w:p>
    <w:p>
      <w:pPr>
        <w:pStyle w:val="SourceHeading"/>
      </w:pPr>
      <w:r>
        <w:t>S17  MSHA accident, injury and narrative data</w:t>
      </w:r>
    </w:p>
    <w:p>
      <w:pPr>
        <w:pStyle w:val="Metadata"/>
      </w:pPr>
      <w:r>
        <w:t>EXTENSION | Bulk accident data | US mining</w:t>
      </w:r>
    </w:p>
    <w:p>
      <w:pPr>
        <w:pStyle w:val="SourceBody"/>
      </w:pPr>
      <w:r>
        <w:rPr>
          <w:b/>
        </w:rPr>
        <w:t xml:space="preserve">Data. </w:t>
      </w:r>
      <w:r>
        <w:t>MSHA publishes reported accident/injury/illness records and a Part 50 data route that includes narrative information. The open-data portal supplies definitions for the available datasets.</w:t>
      </w:r>
    </w:p>
    <w:p>
      <w:pPr>
        <w:pStyle w:val="SourceBody"/>
      </w:pPr>
      <w:r>
        <w:rPr>
          <w:b/>
        </w:rPr>
        <w:t xml:space="preserve">Suggested use. </w:t>
      </w:r>
      <w:r>
        <w:t>Use selected machinery, electrical, transport, lifting and fall cases to broaden hazard coverage. Join narrative and coded records using the documented identifiers; mining-specific cases need a separate domain flag.</w:t>
      </w:r>
    </w:p>
    <w:p>
      <w:pPr>
        <w:pStyle w:val="SourceBody"/>
      </w:pPr>
      <w:r>
        <w:rPr>
          <w:b/>
        </w:rPr>
        <w:t xml:space="preserve">Access and limits. </w:t>
      </w:r>
      <w:r>
        <w:t>Official downloadable data. Prefer plain data/ZIP routes to legacy self-extracting executables. Coal and mineral operations differ from Oil India tasks, so this should supplement petroleum examples.</w:t>
      </w:r>
    </w:p>
    <w:p>
      <w:pPr>
        <w:pStyle w:val="Reference"/>
      </w:pPr>
      <w:r>
        <w:rPr>
          <w:b/>
        </w:rPr>
        <w:t xml:space="preserve">Reference: </w:t>
      </w:r>
      <w:hyperlink r:id="rId36">
        <w:r>
          <w:rPr>
            <w:color w:val="1F4D78"/>
            <w:u w:val="single"/>
          </w:rPr>
          <w:t>MSHA: open-data portal</w:t>
        </w:r>
      </w:hyperlink>
    </w:p>
    <w:p>
      <w:pPr>
        <w:pStyle w:val="Reference"/>
      </w:pPr>
      <w:r>
        <w:rPr>
          <w:b/>
        </w:rPr>
        <w:t xml:space="preserve">Reference: </w:t>
      </w:r>
      <w:hyperlink r:id="rId37">
        <w:r>
          <w:rPr>
            <w:color w:val="1F4D78"/>
            <w:u w:val="single"/>
          </w:rPr>
          <w:t>MSHA: Part 50 files, narratives and handbook</w:t>
        </w:r>
      </w:hyperlink>
    </w:p>
    <w:p>
      <w:pPr>
        <w:pStyle w:val="SourceHeading"/>
      </w:pPr>
      <w:r>
        <w:t>S18  Industrial Safety and Health Analytics Database</w:t>
      </w:r>
    </w:p>
    <w:p>
      <w:pPr>
        <w:pStyle w:val="Metadata"/>
      </w:pPr>
      <w:r>
        <w:t>PROTOTYPE | Existing severity fields | Kaggle community dataset</w:t>
      </w:r>
    </w:p>
    <w:p>
      <w:pPr>
        <w:pStyle w:val="SourceBody"/>
      </w:pPr>
      <w:r>
        <w:rPr>
          <w:b/>
        </w:rPr>
        <w:t xml:space="preserve">Data. </w:t>
      </w:r>
      <w:r>
        <w:t>The dataset card lists Description, Critical Risk, Accident Level and Potential Accident Level, plus anonymised location/sector fields. This is unusually convenient for testing a complete classification pipeline.</w:t>
      </w:r>
    </w:p>
    <w:p>
      <w:pPr>
        <w:pStyle w:val="SourceBody"/>
      </w:pPr>
      <w:r>
        <w:rPr>
          <w:b/>
        </w:rPr>
        <w:t xml:space="preserve">Suggested use. </w:t>
      </w:r>
      <w:r>
        <w:t>Use for an initial benchmark and to practise cleaning and label handling. Do not equate its ordinal potential levels with your binary SIF definition without documented expert mapping.</w:t>
      </w:r>
    </w:p>
    <w:p>
      <w:pPr>
        <w:pStyle w:val="SourceBody"/>
      </w:pPr>
      <w:r>
        <w:rPr>
          <w:b/>
        </w:rPr>
        <w:t xml:space="preserve">Access and limits. </w:t>
      </w:r>
      <w:r>
        <w:t>The indexed Kaggle card shows CC0; confirm the current downloaded version and provenance. Download may require a Kaggle account. File contents and row count were not audited; treat it as a supplementary community dataset.</w:t>
      </w:r>
    </w:p>
    <w:p>
      <w:pPr>
        <w:pStyle w:val="Reference"/>
      </w:pPr>
      <w:r>
        <w:rPr>
          <w:b/>
        </w:rPr>
        <w:t xml:space="preserve">Reference: </w:t>
      </w:r>
      <w:hyperlink r:id="rId38">
        <w:r>
          <w:rPr>
            <w:color w:val="1F4D78"/>
            <w:u w:val="single"/>
          </w:rPr>
          <w:t>Kaggle: original dataset card and download</w:t>
        </w:r>
      </w:hyperlink>
    </w:p>
    <w:p>
      <w:pPr>
        <w:pStyle w:val="Heading1"/>
        <w:pageBreakBefore/>
      </w:pPr>
      <w:r>
        <w:t>European and Australian incident sources</w:t>
      </w:r>
    </w:p>
    <w:p>
      <w:pPr>
        <w:pStyle w:val="SourceHeading"/>
      </w:pPr>
      <w:r>
        <w:t>S19  eMARS major-accident database</w:t>
      </w:r>
    </w:p>
    <w:p>
      <w:pPr>
        <w:pStyle w:val="Metadata"/>
      </w:pPr>
      <w:r>
        <w:t>EXTENSION | Accident and near-miss reports | Europe and contributors</w:t>
      </w:r>
    </w:p>
    <w:p>
      <w:pPr>
        <w:pStyle w:val="SourceBody"/>
      </w:pPr>
      <w:r>
        <w:rPr>
          <w:b/>
        </w:rPr>
        <w:t xml:space="preserve">Data. </w:t>
      </w:r>
      <w:r>
        <w:t>eMARS shares lessons from accidents and near misses involving dangerous substances. The current official home is the European Environment Agency; responsibility transferred from the JRC on 1 January 2026.</w:t>
      </w:r>
    </w:p>
    <w:p>
      <w:pPr>
        <w:pStyle w:val="SourceBody"/>
      </w:pPr>
      <w:r>
        <w:rPr>
          <w:b/>
        </w:rPr>
        <w:t xml:space="preserve">Suggested use. </w:t>
      </w:r>
      <w:r>
        <w:t>Use for chemical/process hazards and broader barrier-failure examples. Preserve source definitions: a Seveso major accident or near miss is not the same classification as personnel SIF potential.</w:t>
      </w:r>
    </w:p>
    <w:p>
      <w:pPr>
        <w:pStyle w:val="SourceBody"/>
      </w:pPr>
      <w:r>
        <w:rPr>
          <w:b/>
        </w:rPr>
        <w:t xml:space="preserve">Access and limits. </w:t>
      </w:r>
      <w:r>
        <w:t>The EEA landing page links a data/download interface; that interface was not readable in the research tool. Use the current EEA route rather than relying on the old JRC login page. Reuse terms need review.</w:t>
      </w:r>
    </w:p>
    <w:p>
      <w:pPr>
        <w:pStyle w:val="Reference"/>
      </w:pPr>
      <w:r>
        <w:rPr>
          <w:b/>
        </w:rPr>
        <w:t xml:space="preserve">Reference: </w:t>
      </w:r>
      <w:hyperlink r:id="rId39">
        <w:r>
          <w:rPr>
            <w:color w:val="1F4D78"/>
            <w:u w:val="single"/>
          </w:rPr>
          <w:t>EEA: current eMARS home</w:t>
        </w:r>
      </w:hyperlink>
    </w:p>
    <w:p>
      <w:pPr>
        <w:pStyle w:val="Reference"/>
      </w:pPr>
      <w:r>
        <w:rPr>
          <w:b/>
        </w:rPr>
        <w:t xml:space="preserve">Reference: </w:t>
      </w:r>
      <w:hyperlink r:id="rId40">
        <w:r>
          <w:rPr>
            <w:color w:val="1F4D78"/>
            <w:u w:val="single"/>
          </w:rPr>
          <w:t>EEA: major-accident data interface</w:t>
        </w:r>
      </w:hyperlink>
    </w:p>
    <w:p>
      <w:pPr>
        <w:pStyle w:val="SourceHeading"/>
      </w:pPr>
      <w:r>
        <w:t>S20  BARPI ARIA industrial-accident database</w:t>
      </w:r>
    </w:p>
    <w:p>
      <w:pPr>
        <w:pStyle w:val="Metadata"/>
      </w:pPr>
      <w:r>
        <w:t>EXTENSION | Bulk CSV and case summaries | France and international</w:t>
      </w:r>
    </w:p>
    <w:p>
      <w:pPr>
        <w:pStyle w:val="SourceBody"/>
      </w:pPr>
      <w:r>
        <w:rPr>
          <w:b/>
        </w:rPr>
        <w:t xml:space="preserve">Data. </w:t>
      </w:r>
      <w:r>
        <w:t>The official European data catalogue describes a full ARIA export of technological accidents/incidents and lists CSV distributions, including a July 2026 snapshot. Records extend beyond occupational injury into environmental events.</w:t>
      </w:r>
    </w:p>
    <w:p>
      <w:pPr>
        <w:pStyle w:val="SourceBody"/>
      </w:pPr>
      <w:r>
        <w:rPr>
          <w:b/>
        </w:rPr>
        <w:t xml:space="preserve">Suggested use. </w:t>
      </w:r>
      <w:r>
        <w:t>Potentially useful at scale after petroleum/hazard filtering. Retain original language and event IDs, review translations and do not label an environmental incident as personnel SIF without exposure evidence.</w:t>
      </w:r>
    </w:p>
    <w:p>
      <w:pPr>
        <w:pStyle w:val="SourceBody"/>
      </w:pPr>
      <w:r>
        <w:rPr>
          <w:b/>
        </w:rPr>
        <w:t xml:space="preserve">Access and limits. </w:t>
      </w:r>
      <w:r>
        <w:t>Catalogue metadata was verified; the ARIA website blocked direct research access. The catalogue explicitly restricts reuse to non-commercial purposes with BARPI attribution. Resolve applicability before commercial training or deployment.</w:t>
      </w:r>
    </w:p>
    <w:p>
      <w:pPr>
        <w:pStyle w:val="Reference"/>
      </w:pPr>
      <w:r>
        <w:rPr>
          <w:b/>
        </w:rPr>
        <w:t xml:space="preserve">Reference: </w:t>
      </w:r>
      <w:hyperlink r:id="rId41">
        <w:r>
          <w:rPr>
            <w:color w:val="1F4D78"/>
            <w:u w:val="single"/>
          </w:rPr>
          <w:t>Official catalogue: ARIA CSV distributions and conditions</w:t>
        </w:r>
      </w:hyperlink>
    </w:p>
    <w:p>
      <w:pPr>
        <w:pStyle w:val="Reference"/>
      </w:pPr>
      <w:r>
        <w:rPr>
          <w:b/>
        </w:rPr>
        <w:t xml:space="preserve">Reference: </w:t>
      </w:r>
      <w:hyperlink r:id="rId42">
        <w:r>
          <w:rPr>
            <w:color w:val="1F4D78"/>
            <w:u w:val="single"/>
          </w:rPr>
          <w:t>BARPI: official mission and database context</w:t>
        </w:r>
      </w:hyperlink>
    </w:p>
    <w:p>
      <w:pPr>
        <w:pStyle w:val="SourceHeading"/>
      </w:pPr>
      <w:r>
        <w:t>S21  NOPSEMA safety alerts and bulletins</w:t>
      </w:r>
    </w:p>
    <w:p>
      <w:pPr>
        <w:pStyle w:val="Metadata"/>
      </w:pPr>
      <w:r>
        <w:t>EXTENSION | Safety alerts and selected incidents | Australian offshore</w:t>
      </w:r>
    </w:p>
    <w:p>
      <w:pPr>
        <w:pStyle w:val="SourceBody"/>
      </w:pPr>
      <w:r>
        <w:rPr>
          <w:b/>
        </w:rPr>
        <w:t xml:space="preserve">Data. </w:t>
      </w:r>
      <w:r>
        <w:t>The official document hub lists safety alerts and bulletins covering pipeline containment, electrical incidents, lifting, cranes, hazardous work and other offshore topics.</w:t>
      </w:r>
    </w:p>
    <w:p>
      <w:pPr>
        <w:pStyle w:val="SourceBody"/>
      </w:pPr>
      <w:r>
        <w:rPr>
          <w:b/>
        </w:rPr>
        <w:t xml:space="preserve">Suggested use. </w:t>
      </w:r>
      <w:r>
        <w:t>Useful for difficult offshore cases and evidence-backed barrier vocabulary. Some publications discuss multiple events or broad issues; split only when individual incidents are identifiable.</w:t>
      </w:r>
    </w:p>
    <w:p>
      <w:pPr>
        <w:pStyle w:val="SourceBody"/>
      </w:pPr>
      <w:r>
        <w:rPr>
          <w:b/>
        </w:rPr>
        <w:t xml:space="preserve">Access and limits. </w:t>
      </w:r>
      <w:r>
        <w:t>Public PDF/DOC links. An alert can summarise another regulator’s material, so check event provenance. Do not count a generic guidance bulletin as a labeled accident record.</w:t>
      </w:r>
    </w:p>
    <w:p>
      <w:pPr>
        <w:pStyle w:val="Reference"/>
      </w:pPr>
      <w:r>
        <w:rPr>
          <w:b/>
        </w:rPr>
        <w:t xml:space="preserve">Reference: </w:t>
      </w:r>
      <w:hyperlink r:id="rId43">
        <w:r>
          <w:rPr>
            <w:color w:val="1F4D78"/>
            <w:u w:val="single"/>
          </w:rPr>
          <w:t>NOPSEMA: alerts and bulletins</w:t>
        </w:r>
      </w:hyperlink>
    </w:p>
    <w:p>
      <w:pPr>
        <w:pStyle w:val="Heading1"/>
        <w:pageBreakBefore/>
      </w:pPr>
      <w:r>
        <w:t>Further evidence and coverage checks</w:t>
      </w:r>
    </w:p>
    <w:p>
      <w:pPr>
        <w:pStyle w:val="SourceHeading"/>
      </w:pPr>
      <w:r>
        <w:t>S22  Havtil investigations and audit reports</w:t>
      </w:r>
    </w:p>
    <w:p>
      <w:pPr>
        <w:pStyle w:val="Metadata"/>
      </w:pPr>
      <w:r>
        <w:t>EXTENSION | Investigations and inspections | Norwegian petroleum</w:t>
      </w:r>
    </w:p>
    <w:p>
      <w:pPr>
        <w:pStyle w:val="SourceBody"/>
      </w:pPr>
      <w:r>
        <w:rPr>
          <w:b/>
        </w:rPr>
        <w:t xml:space="preserve">Data. </w:t>
      </w:r>
      <w:r>
        <w:t>The Norwegian Ocean Industry Authority publishes investigations of serious petroleum incidents and a wider audit-report search. Topics include well integrity, lifting, structural safety, maintenance and barrier management.</w:t>
      </w:r>
    </w:p>
    <w:p>
      <w:pPr>
        <w:pStyle w:val="SourceBody"/>
      </w:pPr>
      <w:r>
        <w:rPr>
          <w:b/>
        </w:rPr>
        <w:t xml:space="preserve">Suggested use. </w:t>
      </w:r>
      <w:r>
        <w:t>Use investigation findings for event narratives and audits for observed precursor/control deficiencies. Preserve an event-type field so an audit observation is not mistaken for an accident.</w:t>
      </w:r>
    </w:p>
    <w:p>
      <w:pPr>
        <w:pStyle w:val="SourceBody"/>
      </w:pPr>
      <w:r>
        <w:rPr>
          <w:b/>
        </w:rPr>
        <w:t xml:space="preserve">Access and limits. </w:t>
      </w:r>
      <w:r>
        <w:t>Public English landing pages; check each attachment’s language and availability. Norwegian regulatory findings need interpretation before mapping to Indian controls. Reuse permissions were not established.</w:t>
      </w:r>
    </w:p>
    <w:p>
      <w:pPr>
        <w:pStyle w:val="Reference"/>
      </w:pPr>
      <w:r>
        <w:rPr>
          <w:b/>
        </w:rPr>
        <w:t xml:space="preserve">Reference: </w:t>
      </w:r>
      <w:hyperlink r:id="rId44">
        <w:r>
          <w:rPr>
            <w:color w:val="1F4D78"/>
            <w:u w:val="single"/>
          </w:rPr>
          <w:t>Havtil: investigation reports</w:t>
        </w:r>
      </w:hyperlink>
    </w:p>
    <w:p>
      <w:pPr>
        <w:pStyle w:val="Reference"/>
      </w:pPr>
      <w:r>
        <w:rPr>
          <w:b/>
        </w:rPr>
        <w:t xml:space="preserve">Reference: </w:t>
      </w:r>
      <w:hyperlink r:id="rId45">
        <w:r>
          <w:rPr>
            <w:color w:val="1F4D78"/>
            <w:u w:val="single"/>
          </w:rPr>
          <w:t>Havtil: audits and investigation search</w:t>
        </w:r>
      </w:hyperlink>
    </w:p>
    <w:p>
      <w:pPr>
        <w:pStyle w:val="SourceHeading"/>
      </w:pPr>
      <w:r>
        <w:t>S23  NIOSH Fatalities in Oil and Gas Extraction</w:t>
      </w:r>
    </w:p>
    <w:p>
      <w:pPr>
        <w:pStyle w:val="Metadata"/>
      </w:pPr>
      <w:r>
        <w:t>SUPPORTING / REQUEST | Fatality surveillance | US upstream</w:t>
      </w:r>
    </w:p>
    <w:p>
      <w:pPr>
        <w:pStyle w:val="SourceBody"/>
      </w:pPr>
      <w:r>
        <w:rPr>
          <w:b/>
        </w:rPr>
        <w:t xml:space="preserve">Data. </w:t>
      </w:r>
      <w:r>
        <w:t>FOG monitors worker fatalities in oil and gas extraction. CDC links Worker Health Charts, variable definitions and publications, and provides a route to request data or a custom report.</w:t>
      </w:r>
    </w:p>
    <w:p>
      <w:pPr>
        <w:pStyle w:val="SourceBody"/>
      </w:pPr>
      <w:r>
        <w:rPr>
          <w:b/>
        </w:rPr>
        <w:t xml:space="preserve">Suggested use. </w:t>
      </w:r>
      <w:r>
        <w:t>Use public summaries to check upstream hazard coverage. Request de-identified event-level detail if needed; do not assume the public chart interface exposes the complete narrative database.</w:t>
      </w:r>
    </w:p>
    <w:p>
      <w:pPr>
        <w:pStyle w:val="SourceBody"/>
      </w:pPr>
      <w:r>
        <w:rPr>
          <w:b/>
        </w:rPr>
        <w:t xml:space="preserve">Access and limits. </w:t>
      </w:r>
      <w:r>
        <w:t>Public charts/documentation; detailed data availability depends on the request. FOG is a subset, not a complete census, includes fatalities only, and excludes midstream/downstream workers from its defined coverage.</w:t>
      </w:r>
    </w:p>
    <w:p>
      <w:pPr>
        <w:pStyle w:val="Reference"/>
      </w:pPr>
      <w:r>
        <w:rPr>
          <w:b/>
        </w:rPr>
        <w:t xml:space="preserve">Reference: </w:t>
      </w:r>
      <w:hyperlink r:id="rId46">
        <w:r>
          <w:rPr>
            <w:color w:val="1F4D78"/>
            <w:u w:val="single"/>
          </w:rPr>
          <w:t>CDC: FOG access, definitions and request route</w:t>
        </w:r>
      </w:hyperlink>
    </w:p>
    <w:p>
      <w:pPr>
        <w:pStyle w:val="SourceHeading"/>
      </w:pPr>
      <w:r>
        <w:t>S24  HSE RIDDOR tables and fatality case listing</w:t>
      </w:r>
    </w:p>
    <w:p>
      <w:pPr>
        <w:pStyle w:val="Metadata"/>
      </w:pPr>
      <w:r>
        <w:t>CONTEXT | Summary tables and brief case listings | Great Britain</w:t>
      </w:r>
    </w:p>
    <w:p>
      <w:pPr>
        <w:pStyle w:val="SourceBody"/>
      </w:pPr>
      <w:r>
        <w:rPr>
          <w:b/>
        </w:rPr>
        <w:t xml:space="preserve">Data. </w:t>
      </w:r>
      <w:r>
        <w:t>HSE publishes fatal/non-fatal injury and dangerous-occurrence tables. The fatal-injury overview also links a case listing for the latest five-year period.</w:t>
      </w:r>
    </w:p>
    <w:p>
      <w:pPr>
        <w:pStyle w:val="SourceBody"/>
      </w:pPr>
      <w:r>
        <w:rPr>
          <w:b/>
        </w:rPr>
        <w:t xml:space="preserve">Suggested use. </w:t>
      </w:r>
      <w:r>
        <w:t>Use tables for background and coverage comparisons; inspect the case listing before deciding whether its descriptions are rich enough for training. Aggregated counts cannot become individual incident examples.</w:t>
      </w:r>
    </w:p>
    <w:p>
      <w:pPr>
        <w:pStyle w:val="SourceBody"/>
      </w:pPr>
      <w:r>
        <w:rPr>
          <w:b/>
        </w:rPr>
        <w:t xml:space="preserve">Access and limits. </w:t>
      </w:r>
      <w:r>
        <w:t>Public tables, including spreadsheet downloads. HSE states Open Government Licence v3.0 except where otherwise stated. UK reporting definitions and provisional figures must remain attached to the data.</w:t>
      </w:r>
    </w:p>
    <w:p>
      <w:pPr>
        <w:pStyle w:val="Reference"/>
      </w:pPr>
      <w:r>
        <w:rPr>
          <w:b/>
        </w:rPr>
        <w:t xml:space="preserve">Reference: </w:t>
      </w:r>
      <w:hyperlink r:id="rId47">
        <w:r>
          <w:rPr>
            <w:color w:val="1F4D78"/>
            <w:u w:val="single"/>
          </w:rPr>
          <w:t>HSE: fatality overview and case listing</w:t>
        </w:r>
      </w:hyperlink>
    </w:p>
    <w:p>
      <w:pPr>
        <w:pStyle w:val="Reference"/>
      </w:pPr>
      <w:r>
        <w:rPr>
          <w:b/>
        </w:rPr>
        <w:t xml:space="preserve">Reference: </w:t>
      </w:r>
      <w:hyperlink r:id="rId48">
        <w:r>
          <w:rPr>
            <w:color w:val="1F4D78"/>
            <w:u w:val="single"/>
          </w:rPr>
          <w:t>HSE: tables, definitions and reuse notice</w:t>
        </w:r>
      </w:hyperlink>
    </w:p>
    <w:p>
      <w:pPr>
        <w:pStyle w:val="Heading1"/>
        <w:pageBreakBefore/>
      </w:pPr>
      <w:r>
        <w:t>Label definitions and retrieval references</w:t>
      </w:r>
    </w:p>
    <w:p>
      <w:pPr>
        <w:pStyle w:val="SourceHeading"/>
      </w:pPr>
      <w:r>
        <w:t>S25  IOGP Life-Saving Rules and Start-Work Checks</w:t>
      </w:r>
    </w:p>
    <w:p>
      <w:pPr>
        <w:pStyle w:val="Metadata"/>
      </w:pPr>
      <w:r>
        <w:t>FOUNDATION | Taxonomy and control guidance | Global oil and gas</w:t>
      </w:r>
    </w:p>
    <w:p>
      <w:pPr>
        <w:pStyle w:val="SourceBody"/>
      </w:pPr>
      <w:r>
        <w:rPr>
          <w:b/>
        </w:rPr>
        <w:t xml:space="preserve">Data. </w:t>
      </w:r>
      <w:r>
        <w:t>Report 459 and its supporting material define nine Life-Saving Rules. The same official page links Start-Work Checks (459-1), implementation resources and additional Line of Fire materials.</w:t>
      </w:r>
    </w:p>
    <w:p>
      <w:pPr>
        <w:pStyle w:val="SourceBody"/>
      </w:pPr>
      <w:r>
        <w:rPr>
          <w:b/>
        </w:rPr>
        <w:t xml:space="preserve">Suggested use. </w:t>
      </w:r>
      <w:r>
        <w:t>Use as the controlled rule vocabulary and retrieval evidence for explanations. Store relevant rule and confirmed breach separately. A rule-related event is not automatically proof that someone violated that rule.</w:t>
      </w:r>
    </w:p>
    <w:p>
      <w:pPr>
        <w:pStyle w:val="SourceBody"/>
      </w:pPr>
      <w:r>
        <w:rPr>
          <w:b/>
        </w:rPr>
        <w:t xml:space="preserve">Access and limits. </w:t>
      </w:r>
      <w:r>
        <w:t>Public resources and free report route. IOGP requires its icons and accompanying rule wording to remain unamended. These are reference materials, not a dataset of real incidents.</w:t>
      </w:r>
    </w:p>
    <w:p>
      <w:pPr>
        <w:pStyle w:val="Reference"/>
      </w:pPr>
      <w:r>
        <w:rPr>
          <w:b/>
        </w:rPr>
        <w:t xml:space="preserve">Reference: </w:t>
      </w:r>
      <w:hyperlink r:id="rId49">
        <w:r>
          <w:rPr>
            <w:color w:val="1F4D78"/>
            <w:u w:val="single"/>
          </w:rPr>
          <w:t>IOGP: Rules, implementation material and Start-Work Checks</w:t>
        </w:r>
      </w:hyperlink>
    </w:p>
    <w:p>
      <w:pPr>
        <w:pStyle w:val="SourceHeading"/>
      </w:pPr>
      <w:r>
        <w:t>S26  IOGP FPI scenarios and reporting definitions</w:t>
      </w:r>
    </w:p>
    <w:p>
      <w:pPr>
        <w:pStyle w:val="Metadata"/>
      </w:pPr>
      <w:r>
        <w:t>FOUNDATION | Annotation guidance | Global oil and gas</w:t>
      </w:r>
    </w:p>
    <w:p>
      <w:pPr>
        <w:pStyle w:val="SourceBody"/>
      </w:pPr>
      <w:r>
        <w:rPr>
          <w:b/>
        </w:rPr>
        <w:t xml:space="preserve">Data. </w:t>
      </w:r>
      <w:r>
        <w:t>The February 2024 Potential FPI scenario examples distinguish actual, potential and near-miss fatality/permanent impairment. The document also distinguishes these from high-potential events involving realistic fatality potential.</w:t>
      </w:r>
    </w:p>
    <w:p>
      <w:pPr>
        <w:pStyle w:val="SourceBody"/>
      </w:pPr>
      <w:r>
        <w:rPr>
          <w:b/>
        </w:rPr>
        <w:t xml:space="preserve">Suggested use. </w:t>
      </w:r>
      <w:r>
        <w:t>Use the definitions to build a versioned annotation guide. The scenario list concerns potential FPI cases with an injury; it is not a corpus of observed incidents or a complete near-miss standard. Align its concepts with the sponsor’s SIF definition.</w:t>
      </w:r>
    </w:p>
    <w:p>
      <w:pPr>
        <w:pStyle w:val="SourceBody"/>
      </w:pPr>
      <w:r>
        <w:rPr>
          <w:b/>
        </w:rPr>
        <w:t xml:space="preserve">Access and limits. </w:t>
      </w:r>
      <w:r>
        <w:t>The seven-page scenario PDF was directly readable. The 2025 reporting user guide is separately listed. Synthetic examples inspired by guidance must remain marked as synthetic.</w:t>
      </w:r>
    </w:p>
    <w:p>
      <w:pPr>
        <w:pStyle w:val="Reference"/>
      </w:pPr>
      <w:r>
        <w:rPr>
          <w:b/>
        </w:rPr>
        <w:t xml:space="preserve">Reference: </w:t>
      </w:r>
      <w:hyperlink r:id="rId50">
        <w:r>
          <w:rPr>
            <w:color w:val="1F4D78"/>
            <w:u w:val="single"/>
          </w:rPr>
          <w:t>IOGP: Potential FPI scenario examples (PDF)</w:t>
        </w:r>
      </w:hyperlink>
    </w:p>
    <w:p>
      <w:pPr>
        <w:pStyle w:val="Reference"/>
      </w:pPr>
      <w:r>
        <w:rPr>
          <w:b/>
        </w:rPr>
        <w:t xml:space="preserve">Reference: </w:t>
      </w:r>
      <w:hyperlink r:id="rId51">
        <w:r>
          <w:rPr>
            <w:color w:val="1F4D78"/>
            <w:u w:val="single"/>
          </w:rPr>
          <w:t>IOGP: reporting scope and definitions, 2025 data</w:t>
        </w:r>
      </w:hyperlink>
    </w:p>
    <w:p>
      <w:pPr>
        <w:pStyle w:val="SourceHeading"/>
      </w:pPr>
      <w:r>
        <w:t>S27  DROPS guidance, calculator and alerts</w:t>
      </w:r>
    </w:p>
    <w:p>
      <w:pPr>
        <w:pStyle w:val="Metadata"/>
      </w:pPr>
      <w:r>
        <w:t>FOUNDATION / EXTENSION | Dropped-object evidence | Industry</w:t>
      </w:r>
    </w:p>
    <w:p>
      <w:pPr>
        <w:pStyle w:val="SourceBody"/>
      </w:pPr>
      <w:r>
        <w:rPr>
          <w:b/>
        </w:rPr>
        <w:t xml:space="preserve">Data. </w:t>
      </w:r>
      <w:r>
        <w:t>DROPS provides recommended practice, securing guidance, a calculator, pre-task material and incident-alert links. These support a focused dropped-object and line-of-fire subset.</w:t>
      </w:r>
    </w:p>
    <w:p>
      <w:pPr>
        <w:pStyle w:val="SourceBody"/>
      </w:pPr>
      <w:r>
        <w:rPr>
          <w:b/>
        </w:rPr>
        <w:t xml:space="preserve">Suggested use. </w:t>
      </w:r>
      <w:r>
        <w:t>Use guidance for structured features such as object mass, height, personnel exposure and securing controls. A calculator is supporting evidence; it does not replace contextual review or cover all hazards.</w:t>
      </w:r>
    </w:p>
    <w:p>
      <w:pPr>
        <w:pStyle w:val="SourceBody"/>
      </w:pPr>
      <w:r>
        <w:rPr>
          <w:b/>
        </w:rPr>
        <w:t xml:space="preserve">Access and limits. </w:t>
      </w:r>
      <w:r>
        <w:t>DROPS permits copying designated Best Practice/Free Download material and limits endorsement use. Incident reports, presentations and third-party videos have separately controlled rights. Do not apply the guidance permission to the entire archive.</w:t>
      </w:r>
    </w:p>
    <w:p>
      <w:pPr>
        <w:pStyle w:val="Reference"/>
      </w:pPr>
      <w:r>
        <w:rPr>
          <w:b/>
        </w:rPr>
        <w:t xml:space="preserve">Reference: </w:t>
      </w:r>
      <w:hyperlink r:id="rId52">
        <w:r>
          <w:rPr>
            <w:color w:val="1F4D78"/>
            <w:u w:val="single"/>
          </w:rPr>
          <w:t>DROPS: resources, calculator, alerts and reuse conditions</w:t>
        </w:r>
      </w:hyperlink>
    </w:p>
    <w:p>
      <w:pPr>
        <w:pStyle w:val="Heading1"/>
        <w:pageBreakBefore/>
      </w:pPr>
      <w:r>
        <w:t>Indian knowledge and sponsor context</w:t>
      </w:r>
    </w:p>
    <w:p>
      <w:pPr>
        <w:pStyle w:val="SourceHeading"/>
      </w:pPr>
      <w:r>
        <w:t>S28  OISD standards and recommended practices</w:t>
      </w:r>
    </w:p>
    <w:p>
      <w:pPr>
        <w:pStyle w:val="Metadata"/>
      </w:pPr>
      <w:r>
        <w:t>FOUNDATION | Standards for a knowledge base | India</w:t>
      </w:r>
    </w:p>
    <w:p>
      <w:pPr>
        <w:pStyle w:val="SourceBody"/>
      </w:pPr>
      <w:r>
        <w:rPr>
          <w:b/>
        </w:rPr>
        <w:t xml:space="preserve">Data. </w:t>
      </w:r>
      <w:r>
        <w:t>The official list identifies standard numbers, names and current editions. Examples include OISD-STD-105 Work Permit System and standards for petroleum handling, hazardous chemicals and asset integrity.</w:t>
      </w:r>
    </w:p>
    <w:p>
      <w:pPr>
        <w:pStyle w:val="SourceBody"/>
      </w:pPr>
      <w:r>
        <w:rPr>
          <w:b/>
        </w:rPr>
        <w:t xml:space="preserve">Suggested use. </w:t>
      </w:r>
      <w:r>
        <w:t>Use properly licensed, applicable standards for retrieval and annotation guidance. Keep standard number, edition, clause and effective scope. A standards catalogue supplies metadata, not the full standard text.</w:t>
      </w:r>
    </w:p>
    <w:p>
      <w:pPr>
        <w:pStyle w:val="SourceBody"/>
      </w:pPr>
      <w:r>
        <w:rPr>
          <w:b/>
        </w:rPr>
        <w:t xml:space="preserve">Access and limits. </w:t>
      </w:r>
      <w:r>
        <w:t>The catalogue is public; full standards are sold through registration and purchase. Ask a college/sponsor for authorised access if available. Purchase alone does not settle ML training or redistribution permission.</w:t>
      </w:r>
    </w:p>
    <w:p>
      <w:pPr>
        <w:pStyle w:val="Reference"/>
      </w:pPr>
      <w:r>
        <w:rPr>
          <w:b/>
        </w:rPr>
        <w:t xml:space="preserve">Reference: </w:t>
      </w:r>
      <w:hyperlink r:id="rId53">
        <w:r>
          <w:rPr>
            <w:color w:val="1F4D78"/>
            <w:u w:val="single"/>
          </w:rPr>
          <w:t>OISD: standards and editions</w:t>
        </w:r>
      </w:hyperlink>
    </w:p>
    <w:p>
      <w:pPr>
        <w:pStyle w:val="Reference"/>
      </w:pPr>
      <w:r>
        <w:rPr>
          <w:b/>
        </w:rPr>
        <w:t xml:space="preserve">Reference: </w:t>
      </w:r>
      <w:hyperlink r:id="rId54">
        <w:r>
          <w:rPr>
            <w:color w:val="1F4D78"/>
            <w:u w:val="single"/>
          </w:rPr>
          <w:t>OISD: official access/purchase conditions</w:t>
        </w:r>
      </w:hyperlink>
    </w:p>
    <w:p>
      <w:pPr>
        <w:pStyle w:val="SourceHeading"/>
      </w:pPr>
      <w:r>
        <w:t>S29  Oil India sustainability and BRSR reports</w:t>
      </w:r>
    </w:p>
    <w:p>
      <w:pPr>
        <w:pStyle w:val="Metadata"/>
      </w:pPr>
      <w:r>
        <w:t>CONTEXT / REQUEST | Corporate disclosures | Target organisation</w:t>
      </w:r>
    </w:p>
    <w:p>
      <w:pPr>
        <w:pStyle w:val="SourceBody"/>
      </w:pPr>
      <w:r>
        <w:rPr>
          <w:b/>
        </w:rPr>
        <w:t xml:space="preserve">Data. </w:t>
      </w:r>
      <w:r>
        <w:t>Oil India publishes sustainability reports and Business Responsibility and Sustainability Reports. Its public pages list multiple years, including BRSR 2025-26 and sustainability reporting through 2024-25.</w:t>
      </w:r>
    </w:p>
    <w:p>
      <w:pPr>
        <w:pStyle w:val="SourceBody"/>
      </w:pPr>
      <w:r>
        <w:rPr>
          <w:b/>
        </w:rPr>
        <w:t xml:space="preserve">Suggested use. </w:t>
      </w:r>
      <w:r>
        <w:t>Use these documents to understand reported operations and locate disclosed safety indicators. Inspect each report before extracting figures; corporate disclosures are not a confirmed export of individual incident or near-miss records.</w:t>
      </w:r>
    </w:p>
    <w:p>
      <w:pPr>
        <w:pStyle w:val="SourceBody"/>
      </w:pPr>
      <w:r>
        <w:rPr>
          <w:b/>
        </w:rPr>
        <w:t xml:space="preserve">Access and limits. </w:t>
      </w:r>
      <w:r>
        <w:t>Public report links; individual reports were not audited in this guide. The highest-value missing data should be requested through the SIH sponsor: de-identified observations, near misses, minor incidents and expert SIF labels.</w:t>
      </w:r>
    </w:p>
    <w:p>
      <w:pPr>
        <w:pStyle w:val="Reference"/>
      </w:pPr>
      <w:r>
        <w:rPr>
          <w:b/>
        </w:rPr>
        <w:t xml:space="preserve">Reference: </w:t>
      </w:r>
      <w:hyperlink r:id="rId55">
        <w:r>
          <w:rPr>
            <w:color w:val="1F4D78"/>
            <w:u w:val="single"/>
          </w:rPr>
          <w:t>Oil India: sustainability reports</w:t>
        </w:r>
      </w:hyperlink>
    </w:p>
    <w:p>
      <w:pPr>
        <w:pStyle w:val="Reference"/>
      </w:pPr>
      <w:r>
        <w:rPr>
          <w:b/>
        </w:rPr>
        <w:t xml:space="preserve">Reference: </w:t>
      </w:r>
      <w:hyperlink r:id="rId56">
        <w:r>
          <w:rPr>
            <w:color w:val="1F4D78"/>
            <w:u w:val="single"/>
          </w:rPr>
          <w:t>Oil India: BRSR reports</w:t>
        </w:r>
      </w:hyperlink>
    </w:p>
    <w:p>
      <w:pPr>
        <w:pStyle w:val="SourceHeading"/>
      </w:pPr>
      <w:r>
        <w:t>S30  DGFASLI Standard Reference Notes</w:t>
      </w:r>
    </w:p>
    <w:p>
      <w:pPr>
        <w:pStyle w:val="Metadata"/>
      </w:pPr>
      <w:r>
        <w:t>CONTEXT | Indian occupational-safety statistics | India</w:t>
      </w:r>
    </w:p>
    <w:p>
      <w:pPr>
        <w:pStyle w:val="SourceBody"/>
      </w:pPr>
      <w:r>
        <w:rPr>
          <w:b/>
        </w:rPr>
        <w:t xml:space="preserve">Data. </w:t>
      </w:r>
      <w:r>
        <w:t>DGFASLI’s official archive lists Standard Reference Notes by year. These are a route to Indian occupational-safety background; published notes include industrial-injury statistics and source limitations.</w:t>
      </w:r>
    </w:p>
    <w:p>
      <w:pPr>
        <w:pStyle w:val="SourceBody"/>
      </w:pPr>
      <w:r>
        <w:rPr>
          <w:b/>
        </w:rPr>
        <w:t xml:space="preserve">Suggested use. </w:t>
      </w:r>
      <w:r>
        <w:t>Use for the project’s evidence base and to understand reporting gaps. Read the data year inside each table: the publication year does not necessarily equal the year of the underlying statistics.</w:t>
      </w:r>
    </w:p>
    <w:p>
      <w:pPr>
        <w:pStyle w:val="SourceBody"/>
      </w:pPr>
      <w:r>
        <w:rPr>
          <w:b/>
        </w:rPr>
        <w:t xml:space="preserve">Access and limits. </w:t>
      </w:r>
      <w:r>
        <w:t>Public archive with PDF links. These are primarily contextual/aggregated resources, not a verified incident-narrative training set. Do not create artificial “real records” by expanding table totals into rows.</w:t>
      </w:r>
    </w:p>
    <w:p>
      <w:pPr>
        <w:pStyle w:val="Reference"/>
      </w:pPr>
      <w:r>
        <w:rPr>
          <w:b/>
        </w:rPr>
        <w:t xml:space="preserve">Reference: </w:t>
      </w:r>
      <w:hyperlink r:id="rId57">
        <w:r>
          <w:rPr>
            <w:color w:val="1F4D78"/>
            <w:u w:val="single"/>
          </w:rPr>
          <w:t>DGFASLI: official reference-note archive</w:t>
        </w:r>
      </w:hyperlink>
    </w:p>
    <w:p>
      <w:pPr>
        <w:pStyle w:val="Reference"/>
      </w:pPr>
      <w:r>
        <w:rPr>
          <w:b/>
        </w:rPr>
        <w:t xml:space="preserve">Reference: </w:t>
      </w:r>
      <w:hyperlink r:id="rId58">
        <w:r>
          <w:rPr>
            <w:color w:val="1F4D78"/>
            <w:u w:val="single"/>
          </w:rPr>
          <w:t>Example: 2021 reference note (PDF)</w:t>
        </w:r>
      </w:hyperlink>
    </w:p>
    <w:p>
      <w:pPr>
        <w:pStyle w:val="Heading1"/>
        <w:pageBreakBefore/>
      </w:pPr>
      <w:r>
        <w:t>Turn source material into reliable labels</w:t>
      </w:r>
    </w:p>
    <w:p>
      <w:pPr>
        <w:pStyle w:val="PlanBody"/>
      </w:pPr>
      <w:r>
        <w:t>Adopt a written SIF definition with the sponsor before training. For a prototype, use yes / no / insufficient information for realistic fatality or life-altering-injury potential. Preserve the publisher’s original label alongside your mapped label.</w:t>
      </w:r>
    </w:p>
    <w:p>
      <w:pPr>
        <w:pStyle w:val="PlanBody"/>
      </w:pPr>
      <w:r>
        <w:t>Do not collapse actual injury severity, SIF potential and rule relevance into one field. IOGP distinguishes high-potential events, potential FPI and near-miss FPI; the terms are not interchangeable. No injury does not imply low potential. A rule breach alone does not determine potential severity. [S25–S26]</w:t>
      </w:r>
    </w:p>
    <w:p>
      <w:pPr>
        <w:pStyle w:val="Heading2"/>
      </w:pPr>
      <w:r>
        <w:t>Use the nine-rule vocabulary</w:t>
      </w:r>
    </w:p>
    <w:p>
      <w:pPr>
        <w:pStyle w:val="PlanBody"/>
      </w:pPr>
      <w:r>
        <w:t>Bypassing safety controls; Confined space; Driving; Energy isolation; Hot work; Line of fire; Safe mechanical lifting; Work authorisation; Working at height. Allow multiple relevant rules, no applicable rule, and insufficient evidence. Keep other hazards as separate precursor tags. [S25; S13]</w:t>
      </w:r>
    </w:p>
    <w:p>
      <w:pPr>
        <w:pStyle w:val="Heading2"/>
      </w:pPr>
      <w:r>
        <w:t>Minimum record structure</w:t>
      </w:r>
    </w:p>
    <w:tbl>
      <w:tblPr>
        <w:tblW w:type="dxa" w:w="9360"/>
        <w:jc w:val="left"/>
        <w:tblLayout w:type="fixed"/>
        <w:tblLook w:firstColumn="1" w:firstRow="1" w:lastColumn="0" w:lastRow="0" w:noHBand="0" w:noVBand="1" w:val="04A0"/>
        <w:tblInd w:type="dxa" w:w="120"/>
        <w:tblBorders>
          <w:top w:val="single" w:sz="4" w:color="CAD5E0"/>
          <w:left w:val="single" w:sz="4" w:color="CAD5E0"/>
          <w:bottom w:val="single" w:sz="4" w:color="CAD5E0"/>
          <w:right w:val="single" w:sz="4" w:color="CAD5E0"/>
          <w:insideH w:val="single" w:sz="4" w:color="CAD5E0"/>
          <w:insideV w:val="single" w:sz="4" w:color="CAD5E0"/>
        </w:tblBorders>
      </w:tblPr>
      <w:tblGrid>
        <w:gridCol w:w="2350"/>
        <w:gridCol w:w="7010"/>
      </w:tblGrid>
      <w:tr>
        <w:trPr>
          <w:cantSplit/>
          <w:tblHeader/>
        </w:trPr>
        <w:tc>
          <w:tcPr>
            <w:tcW w:type="dxa" w:w="2350"/>
            <w:tcMar>
              <w:top w:w="80" w:type="dxa"/>
              <w:bottom w:w="80" w:type="dxa"/>
              <w:start w:w="120" w:type="dxa"/>
              <w:end w:w="120" w:type="dxa"/>
            </w:tcMar>
            <w:vAlign w:val="center"/>
            <w:shd w:fill="E8EEF5"/>
          </w:tcPr>
          <w:p>
            <w:pPr>
              <w:pStyle w:val="TableBody"/>
            </w:pPr>
            <w:r>
              <w:rPr>
                <w:b/>
              </w:rPr>
              <w:t>Field group</w:t>
            </w:r>
          </w:p>
        </w:tc>
        <w:tc>
          <w:tcPr>
            <w:tcW w:type="dxa" w:w="7010"/>
            <w:tcMar>
              <w:top w:w="80" w:type="dxa"/>
              <w:bottom w:w="80" w:type="dxa"/>
              <w:start w:w="120" w:type="dxa"/>
              <w:end w:w="120" w:type="dxa"/>
            </w:tcMar>
            <w:vAlign w:val="center"/>
            <w:shd w:fill="E8EEF5"/>
          </w:tcPr>
          <w:p>
            <w:pPr>
              <w:pStyle w:val="TableBody"/>
            </w:pPr>
            <w:r>
              <w:rPr>
                <w:b/>
              </w:rPr>
              <w:t>What to store</w:t>
            </w:r>
          </w:p>
        </w:tc>
      </w:tr>
      <w:tr>
        <w:trPr>
          <w:cantSplit/>
        </w:trPr>
        <w:tc>
          <w:tcPr>
            <w:tcW w:type="dxa" w:w="2350"/>
            <w:tcMar>
              <w:top w:w="80" w:type="dxa"/>
              <w:bottom w:w="80" w:type="dxa"/>
              <w:start w:w="120" w:type="dxa"/>
              <w:end w:w="120" w:type="dxa"/>
            </w:tcMar>
            <w:vAlign w:val="center"/>
          </w:tcPr>
          <w:p>
            <w:pPr>
              <w:pStyle w:val="TableBody"/>
            </w:pPr>
            <w:r>
              <w:t>Provenance</w:t>
            </w:r>
          </w:p>
        </w:tc>
        <w:tc>
          <w:tcPr>
            <w:tcW w:type="dxa" w:w="7010"/>
            <w:tcMar>
              <w:top w:w="80" w:type="dxa"/>
              <w:bottom w:w="80" w:type="dxa"/>
              <w:start w:w="120" w:type="dxa"/>
              <w:end w:w="120" w:type="dxa"/>
            </w:tcMar>
            <w:vAlign w:val="center"/>
          </w:tcPr>
          <w:p>
            <w:pPr>
              <w:pStyle w:val="TableBody"/>
            </w:pPr>
            <w:r>
              <w:t>record_id; source_url; document/page; date; original event ID; rights/version</w:t>
            </w:r>
          </w:p>
        </w:tc>
      </w:tr>
      <w:tr>
        <w:trPr>
          <w:cantSplit/>
        </w:trPr>
        <w:tc>
          <w:tcPr>
            <w:tcW w:type="dxa" w:w="2350"/>
            <w:tcMar>
              <w:top w:w="80" w:type="dxa"/>
              <w:bottom w:w="80" w:type="dxa"/>
              <w:start w:w="120" w:type="dxa"/>
              <w:end w:w="120" w:type="dxa"/>
            </w:tcMar>
            <w:vAlign w:val="center"/>
          </w:tcPr>
          <w:p>
            <w:pPr>
              <w:pStyle w:val="TableBody"/>
            </w:pPr>
            <w:r>
              <w:t>Model input</w:t>
            </w:r>
          </w:p>
        </w:tc>
        <w:tc>
          <w:tcPr>
            <w:tcW w:type="dxa" w:w="7010"/>
            <w:tcMar>
              <w:top w:w="80" w:type="dxa"/>
              <w:bottom w:w="80" w:type="dxa"/>
              <w:start w:w="120" w:type="dxa"/>
              <w:end w:w="120" w:type="dxa"/>
            </w:tcMar>
            <w:vAlign w:val="center"/>
          </w:tcPr>
          <w:p>
            <w:pPr>
              <w:pStyle w:val="TableBody"/>
            </w:pPr>
            <w:r>
              <w:t>Incident/observation narrative; activity; equipment; exposure; known safeguards</w:t>
            </w:r>
          </w:p>
        </w:tc>
      </w:tr>
      <w:tr>
        <w:trPr>
          <w:cantSplit/>
        </w:trPr>
        <w:tc>
          <w:tcPr>
            <w:tcW w:type="dxa" w:w="2350"/>
            <w:tcMar>
              <w:top w:w="80" w:type="dxa"/>
              <w:bottom w:w="80" w:type="dxa"/>
              <w:start w:w="120" w:type="dxa"/>
              <w:end w:w="120" w:type="dxa"/>
            </w:tcMar>
            <w:vAlign w:val="center"/>
          </w:tcPr>
          <w:p>
            <w:pPr>
              <w:pStyle w:val="TableBody"/>
            </w:pPr>
            <w:r>
              <w:t>Source outcome</w:t>
            </w:r>
          </w:p>
        </w:tc>
        <w:tc>
          <w:tcPr>
            <w:tcW w:type="dxa" w:w="7010"/>
            <w:tcMar>
              <w:top w:w="80" w:type="dxa"/>
              <w:bottom w:w="80" w:type="dxa"/>
              <w:start w:w="120" w:type="dxa"/>
              <w:end w:w="120" w:type="dxa"/>
            </w:tcMar>
            <w:vAlign w:val="center"/>
          </w:tcPr>
          <w:p>
            <w:pPr>
              <w:pStyle w:val="TableBody"/>
            </w:pPr>
            <w:r>
              <w:t>Original severity label; actual injury; source taxonomy and definition version</w:t>
            </w:r>
          </w:p>
        </w:tc>
      </w:tr>
      <w:tr>
        <w:trPr>
          <w:cantSplit/>
        </w:trPr>
        <w:tc>
          <w:tcPr>
            <w:tcW w:type="dxa" w:w="2350"/>
            <w:tcMar>
              <w:top w:w="80" w:type="dxa"/>
              <w:bottom w:w="80" w:type="dxa"/>
              <w:start w:w="120" w:type="dxa"/>
              <w:end w:w="120" w:type="dxa"/>
            </w:tcMar>
            <w:vAlign w:val="center"/>
          </w:tcPr>
          <w:p>
            <w:pPr>
              <w:pStyle w:val="TableBody"/>
            </w:pPr>
            <w:r>
              <w:t>Reviewed targets</w:t>
            </w:r>
          </w:p>
        </w:tc>
        <w:tc>
          <w:tcPr>
            <w:tcW w:type="dxa" w:w="7010"/>
            <w:tcMar>
              <w:top w:w="80" w:type="dxa"/>
              <w:bottom w:w="80" w:type="dxa"/>
              <w:start w:w="120" w:type="dxa"/>
              <w:end w:w="120" w:type="dxa"/>
            </w:tcMar>
            <w:vAlign w:val="center"/>
          </w:tcPr>
          <w:p>
            <w:pPr>
              <w:pStyle w:val="TableBody"/>
            </w:pPr>
            <w:r>
              <w:t>sif_potential: yes/no/unknown; relevant_rules[]; confirmed_breaches[]</w:t>
            </w:r>
          </w:p>
        </w:tc>
      </w:tr>
      <w:tr>
        <w:trPr>
          <w:cantSplit/>
        </w:trPr>
        <w:tc>
          <w:tcPr>
            <w:tcW w:type="dxa" w:w="2350"/>
            <w:tcMar>
              <w:top w:w="80" w:type="dxa"/>
              <w:bottom w:w="80" w:type="dxa"/>
              <w:start w:w="120" w:type="dxa"/>
              <w:end w:w="120" w:type="dxa"/>
            </w:tcMar>
            <w:vAlign w:val="center"/>
          </w:tcPr>
          <w:p>
            <w:pPr>
              <w:pStyle w:val="TableBody"/>
            </w:pPr>
            <w:r>
              <w:t>Explanation</w:t>
            </w:r>
          </w:p>
        </w:tc>
        <w:tc>
          <w:tcPr>
            <w:tcW w:type="dxa" w:w="7010"/>
            <w:tcMar>
              <w:top w:w="80" w:type="dxa"/>
              <w:bottom w:w="80" w:type="dxa"/>
              <w:start w:w="120" w:type="dxa"/>
              <w:end w:w="120" w:type="dxa"/>
            </w:tcMar>
            <w:vAlign w:val="center"/>
          </w:tcPr>
          <w:p>
            <w:pPr>
              <w:pStyle w:val="TableBody"/>
            </w:pPr>
            <w:r>
              <w:t>precursors[]; failed_barriers[]; evidence spans; missing information</w:t>
            </w:r>
          </w:p>
        </w:tc>
      </w:tr>
      <w:tr>
        <w:trPr>
          <w:cantSplit/>
        </w:trPr>
        <w:tc>
          <w:tcPr>
            <w:tcW w:type="dxa" w:w="2350"/>
            <w:tcMar>
              <w:top w:w="80" w:type="dxa"/>
              <w:bottom w:w="80" w:type="dxa"/>
              <w:start w:w="120" w:type="dxa"/>
              <w:end w:w="120" w:type="dxa"/>
            </w:tcMar>
            <w:vAlign w:val="center"/>
          </w:tcPr>
          <w:p>
            <w:pPr>
              <w:pStyle w:val="TableBody"/>
            </w:pPr>
            <w:r>
              <w:t>Review status</w:t>
            </w:r>
          </w:p>
        </w:tc>
        <w:tc>
          <w:tcPr>
            <w:tcW w:type="dxa" w:w="7010"/>
            <w:tcMar>
              <w:top w:w="80" w:type="dxa"/>
              <w:bottom w:w="80" w:type="dxa"/>
              <w:start w:w="120" w:type="dxa"/>
              <w:end w:w="120" w:type="dxa"/>
            </w:tcMar>
            <w:vAlign w:val="center"/>
          </w:tcPr>
          <w:p>
            <w:pPr>
              <w:pStyle w:val="TableBody"/>
            </w:pPr>
            <w:r>
              <w:t>Annotator; reviewer; agreement/adjudication; label-guide version</w:t>
            </w:r>
          </w:p>
        </w:tc>
      </w:tr>
      <w:tr>
        <w:trPr>
          <w:cantSplit/>
        </w:trPr>
        <w:tc>
          <w:tcPr>
            <w:tcW w:type="dxa" w:w="2350"/>
            <w:tcMar>
              <w:top w:w="80" w:type="dxa"/>
              <w:bottom w:w="80" w:type="dxa"/>
              <w:start w:w="120" w:type="dxa"/>
              <w:end w:w="120" w:type="dxa"/>
            </w:tcMar>
            <w:vAlign w:val="center"/>
          </w:tcPr>
          <w:p>
            <w:pPr>
              <w:pStyle w:val="TableBody"/>
            </w:pPr>
            <w:r>
              <w:t>Data lineage</w:t>
            </w:r>
          </w:p>
        </w:tc>
        <w:tc>
          <w:tcPr>
            <w:tcW w:type="dxa" w:w="7010"/>
            <w:tcMar>
              <w:top w:w="80" w:type="dxa"/>
              <w:bottom w:w="80" w:type="dxa"/>
              <w:start w:w="120" w:type="dxa"/>
              <w:end w:w="120" w:type="dxa"/>
            </w:tcMar>
            <w:vAlign w:val="center"/>
          </w:tcPr>
          <w:p>
            <w:pPr>
              <w:pStyle w:val="TableBody"/>
            </w:pPr>
            <w:r>
              <w:t>real/synthetic; parent_event_id; language; translation version; split</w:t>
            </w:r>
          </w:p>
        </w:tc>
      </w:tr>
    </w:tbl>
    <w:p>
      <w:pPr>
        <w:pStyle w:val="TableCitation"/>
      </w:pPr>
      <w:r>
        <w:t>This schema is a recommended project design. It is not a claim that the listed source files already contain these fields.</w:t>
      </w:r>
    </w:p>
    <w:p>
      <w:pPr>
        <w:pStyle w:val="Heading2"/>
      </w:pPr>
      <w:r>
        <w:t>Avoid shortcuts that inflate performance</w:t>
      </w:r>
    </w:p>
    <w:p>
      <w:pPr>
        <w:pStyle w:val="PlanBody"/>
      </w:pPr>
      <w:r>
        <w:t>Hide labels embedded in titles, category headers and investigation conclusions when the task is to recognise precursors from the initial narrative. Split by underlying event before paraphrasing or translating. Keep every version of one incident in the same split, including copies across publishers.</w:t>
      </w:r>
    </w:p>
    <w:p>
      <w:pPr>
        <w:pStyle w:val="PlanBody"/>
      </w:pPr>
      <w:r>
        <w:t>Review negative examples for actual exposure and controls. A minor injury, uneventful shift or missing detail is not automatically a valid non-SIF label. Use two reviewers for ambiguous or high-consequence cases, with adjudication where they disagree.</w:t>
      </w:r>
    </w:p>
    <w:p>
      <w:pPr>
        <w:pStyle w:val="Heading1"/>
        <w:pageBreakBefore/>
      </w:pPr>
      <w:r>
        <w:t>A practical collection and training plan</w:t>
      </w:r>
    </w:p>
    <w:p>
      <w:pPr>
        <w:pStyle w:val="Heading2"/>
      </w:pPr>
      <w:r>
        <w:t>Build a small, defensible real dataset first</w:t>
      </w:r>
    </w:p>
    <w:p>
      <w:pPr>
        <w:pStyle w:val="ListBullet"/>
        <w:numPr>
          <w:ilvl w:val="0"/>
          <w:numId w:val="42"/>
        </w:numPr>
      </w:pPr>
      <w:r>
        <w:t>Collect a seed set of 30–50 distinct real incidents from IOGP, Indian reports and IMCA. Use it to test the schema and agree on labels, not to claim production accuracy.</w:t>
      </w:r>
    </w:p>
    <w:p>
      <w:pPr>
        <w:pStyle w:val="ListBullet"/>
        <w:numPr>
          <w:ilvl w:val="0"/>
          <w:numId w:val="42"/>
        </w:numPr>
      </w:pPr>
      <w:r>
        <w:t>Expand toward 500–1,000 reviewed real records if time and access allow. Include positive, negative and ambiguous cases across tasks. These are planning targets, not a proven sample-size requirement.</w:t>
      </w:r>
    </w:p>
    <w:p>
      <w:pPr>
        <w:pStyle w:val="ListBullet"/>
        <w:numPr>
          <w:ilvl w:val="0"/>
          <w:numId w:val="42"/>
        </w:numPr>
      </w:pPr>
      <w:r>
        <w:t>Reserve an untouched real evaluation set before augmentation. A 100–200-case pilot can expose failures, but rare-rule results may remain uncertain. Keep a separate Indian/sponsor subset when available.</w:t>
      </w:r>
    </w:p>
    <w:p>
      <w:pPr>
        <w:pStyle w:val="Heading2"/>
      </w:pPr>
      <w:r>
        <w:t>Ask the sponsor for the missing class</w:t>
      </w:r>
    </w:p>
    <w:p>
      <w:pPr>
        <w:pStyle w:val="PlanBody"/>
      </w:pPr>
      <w:r>
        <w:t>Request de-identified near misses, unsafe conditions, first-aid/minor incidents, routine observations and high-potential events from comparable operations. Ask for narrative, activity, equipment, exposed person position, safeguards, actual outcome, expert potential label and reporting date. Exclude personal identifiers. Obtain permission for the intended training and demo use; availability is not guaranteed.</w:t>
      </w:r>
    </w:p>
    <w:p>
      <w:pPr>
        <w:pStyle w:val="Heading2"/>
      </w:pPr>
      <w:r>
        <w:t>Use synthetic data for coverage and format</w:t>
      </w:r>
    </w:p>
    <w:p>
      <w:pPr>
        <w:pStyle w:val="PlanBody"/>
      </w:pPr>
      <w:r>
        <w:t>Yes, 10–50 synthetic examples can demonstrate your workflow, test JSON output or serve as few-shot examples. They do not establish reliable SIF classification. Generate from reviewed scenarios, keep a synthetic flag and parent ID, and have an expert check any changed exposure or safeguard.</w:t>
      </w:r>
    </w:p>
    <w:p>
      <w:pPr>
        <w:pStyle w:val="PlanBody"/>
      </w:pPr>
      <w:r>
        <w:t>Vary wording, abbreviations and missing details. For paired high/low-potential examples, change a real causal condition and re-review the label. Never fabricate an official incident ID or citation. Keep generated examples out of the real test set; compare performance with and without them.</w:t>
      </w:r>
    </w:p>
    <w:p>
      <w:pPr>
        <w:pStyle w:val="Heading2"/>
      </w:pPr>
      <w:r>
        <w:t>Start with prompting and retrieval</w:t>
      </w:r>
    </w:p>
    <w:p>
      <w:pPr>
        <w:pStyle w:val="PlanBody"/>
      </w:pPr>
      <w:r>
        <w:t>Build a baseline that retrieves relevant rules and a few reviewed examples, then returns structured labels with evidence. Keep unknowns explicit. Compare it with a simple text classifier; consider fine-tuning only after the dataset and baseline show a concrete need. Mistral is a model family; QLoRA is a fine-tuning method, not a source of training data.</w:t>
      </w:r>
    </w:p>
    <w:p>
      <w:pPr>
        <w:pStyle w:val="PlanBody"/>
      </w:pPr>
      <w:r>
        <w:t>Evaluate SIF recall and precision, per-rule results, false negatives, abstentions and evidence correctness. Test on new events and sources, not only random rows. Keep a human reviewer in the loop for operational safety decisions.</w:t>
      </w:r>
    </w:p>
    <w:p>
      <w:pPr>
        <w:pStyle w:val="Callout"/>
      </w:pPr>
      <w:r>
        <w:t>Recommended first action: acquire S01, S02, S04, S07 and S13; use S25–S26 for the labeling guide; request representative low-potential records from the sponsor.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Research checked 03 Sep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SIH26165  |  TRAINING DATA SOURCEBOOK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lvlJc w:val="left"/>
      <w:pPr>
        <w:ind w:left="540" w:hanging="271"/>
        <w:tabs>
          <w:tab w:val="num" w:pos="540"/>
        </w:tabs>
        <w:spacing w:before="0" w:after="80" w:line="300" w:lineRule="auto"/>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02B37"/>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36273"/>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36273"/>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4"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76" w:lineRule="auto"/>
    </w:pPr>
    <w:rPr>
      <w:rFonts w:asciiTheme="majorHAnsi" w:eastAsiaTheme="majorEastAsia" w:hAnsiTheme="majorHAnsi" w:cstheme="majorBidi" w:ascii="Calibri" w:hAnsi="Calibri"/>
      <w:b w:val="0"/>
      <w:i/>
      <w:iCs/>
      <w:color w:val="5362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pPr>
    <w:rPr>
      <w:rFonts w:ascii="Calibri" w:hAnsi="Calibri"/>
      <w:b w:val="0"/>
      <w:color w:val="202B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Body">
    <w:name w:val="SourceBody"/>
    <w:pPr>
      <w:widowControl/>
      <w:spacing w:before="0" w:after="60" w:line="269" w:lineRule="auto"/>
    </w:pPr>
    <w:rPr>
      <w:rFonts w:ascii="Calibri" w:hAnsi="Calibri"/>
      <w:b w:val="0"/>
      <w:color w:val="202B37"/>
      <w:sz w:val="21"/>
    </w:rPr>
  </w:style>
  <w:style w:type="paragraph" w:customStyle="1" w:styleId="Reference">
    <w:name w:val="Reference"/>
    <w:pPr>
      <w:widowControl/>
      <w:spacing w:before="0" w:after="60" w:line="264" w:lineRule="auto"/>
    </w:pPr>
    <w:rPr>
      <w:rFonts w:ascii="Calibri" w:hAnsi="Calibri"/>
      <w:b w:val="0"/>
      <w:color w:val="1F4D78"/>
      <w:sz w:val="19"/>
    </w:rPr>
  </w:style>
  <w:style w:type="paragraph" w:customStyle="1" w:styleId="Metadata">
    <w:name w:val="Metadata"/>
    <w:pPr>
      <w:widowControl/>
      <w:spacing w:before="0" w:after="60" w:line="264" w:lineRule="auto"/>
    </w:pPr>
    <w:rPr>
      <w:rFonts w:ascii="Calibri" w:hAnsi="Calibri"/>
      <w:b w:val="0"/>
      <w:color w:val="536273"/>
      <w:sz w:val="19"/>
    </w:rPr>
  </w:style>
  <w:style w:type="paragraph" w:customStyle="1" w:styleId="SourceHeading">
    <w:name w:val="SourceHeading"/>
    <w:basedOn w:val="Heading2"/>
    <w:pPr>
      <w:keepNext/>
      <w:widowControl/>
      <w:spacing w:before="200" w:after="100" w:line="276" w:lineRule="auto"/>
    </w:pPr>
    <w:rPr>
      <w:rFonts w:ascii="Calibri" w:hAnsi="Calibri"/>
      <w:b/>
      <w:color w:val="2E74B5"/>
      <w:sz w:val="24"/>
    </w:rPr>
  </w:style>
  <w:style w:type="paragraph" w:customStyle="1" w:styleId="PlanBody">
    <w:name w:val="PlanBody"/>
    <w:pPr>
      <w:widowControl/>
      <w:spacing w:before="0" w:after="100" w:line="276" w:lineRule="auto"/>
    </w:pPr>
    <w:rPr>
      <w:rFonts w:ascii="Calibri" w:hAnsi="Calibri"/>
      <w:b w:val="0"/>
      <w:color w:val="202B37"/>
      <w:sz w:val="22"/>
    </w:rPr>
  </w:style>
  <w:style w:type="paragraph" w:customStyle="1" w:styleId="TableBody">
    <w:name w:val="TableBody"/>
    <w:pPr>
      <w:widowControl/>
      <w:spacing w:before="0" w:after="60" w:line="264" w:lineRule="auto"/>
    </w:pPr>
    <w:rPr>
      <w:rFonts w:ascii="Calibri" w:hAnsi="Calibri"/>
      <w:b w:val="0"/>
      <w:color w:val="202B37"/>
      <w:sz w:val="20"/>
    </w:rPr>
  </w:style>
  <w:style w:type="paragraph" w:customStyle="1" w:styleId="TableCitation">
    <w:name w:val="TableCitation"/>
    <w:pPr>
      <w:widowControl/>
      <w:spacing w:before="80" w:after="80" w:line="264" w:lineRule="auto"/>
    </w:pPr>
    <w:rPr>
      <w:rFonts w:ascii="Calibri" w:hAnsi="Calibri"/>
      <w:b w:val="0"/>
      <w:color w:val="536273"/>
      <w:sz w:val="19"/>
    </w:rPr>
  </w:style>
  <w:style w:type="paragraph" w:customStyle="1" w:styleId="Callout">
    <w:name w:val="Callout"/>
    <w:pPr>
      <w:widowControl/>
      <w:spacing w:before="120" w:after="180" w:line="288" w:lineRule="auto"/>
    </w:pPr>
    <w:rPr>
      <w:rFonts w:ascii="Calibri" w:hAnsi="Calibri"/>
      <w:b w:val="0"/>
      <w:color w:val="0B254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ogp.org/bookstore/product/safety-performance-indicators-2025-data-high-potential-event-reports/" TargetMode="External"/><Relationship Id="rId12" Type="http://schemas.openxmlformats.org/officeDocument/2006/relationships/hyperlink" Target="https://www.iogp.org/bookstore/product-category/data-series/safety-performance/" TargetMode="External"/><Relationship Id="rId13" Type="http://schemas.openxmlformats.org/officeDocument/2006/relationships/hyperlink" Target="https://www.iogp.org/bookstore/product/safety-performance-indicators-2025-data-fatal-incident-reports/" TargetMode="External"/><Relationship Id="rId14" Type="http://schemas.openxmlformats.org/officeDocument/2006/relationships/hyperlink" Target="https://www.iogp.org/bookstore/product/safety-performance-indicators-permanent-impairment-incident-reports-2024/" TargetMode="External"/><Relationship Id="rId15" Type="http://schemas.openxmlformats.org/officeDocument/2006/relationships/hyperlink" Target="https://www.iogp.org/bookstore/product/safety-performance-indicators-process-safety-events-2025-data-tier-1-pse-fatal-incident-and-high-potential-event-reports/" TargetMode="External"/><Relationship Id="rId16" Type="http://schemas.openxmlformats.org/officeDocument/2006/relationships/hyperlink" Target="https://www.iogp.org/bookstore/product-category/data-series/process-safety-performance/" TargetMode="External"/><Relationship Id="rId17" Type="http://schemas.openxmlformats.org/officeDocument/2006/relationships/hyperlink" Target="https://www.oisd.gov.in/en-in/CaseStudies" TargetMode="External"/><Relationship Id="rId18" Type="http://schemas.openxmlformats.org/officeDocument/2006/relationships/hyperlink" Target="https://pngrb.gov.in/eng-web/erdmp-incident-analysis.html" TargetMode="External"/><Relationship Id="rId19" Type="http://schemas.openxmlformats.org/officeDocument/2006/relationships/hyperlink" Target="https://www.dgms.gov.in/UserView/index?mid=1648" TargetMode="External"/><Relationship Id="rId20" Type="http://schemas.openxmlformats.org/officeDocument/2006/relationships/hyperlink" Target="https://www.dgms.gov.in/" TargetMode="External"/><Relationship Id="rId21" Type="http://schemas.openxmlformats.org/officeDocument/2006/relationships/hyperlink" Target="https://www.osha.gov/severe-injury-reports" TargetMode="External"/><Relationship Id="rId22" Type="http://schemas.openxmlformats.org/officeDocument/2006/relationships/hyperlink" Target="https://www.osha.gov/sites/default/files/January2015toNovember2025.zip" TargetMode="External"/><Relationship Id="rId23" Type="http://schemas.openxmlformats.org/officeDocument/2006/relationships/hyperlink" Target="https://www.osha.gov/ords/imis/accidentsearch.html" TargetMode="External"/><Relationship Id="rId24" Type="http://schemas.openxmlformats.org/officeDocument/2006/relationships/hyperlink" Target="https://www.osha.gov/help/accident-investigation" TargetMode="External"/><Relationship Id="rId25" Type="http://schemas.openxmlformats.org/officeDocument/2006/relationships/hyperlink" Target="https://www.cdc.gov/niosh/face/topics/index.html" TargetMode="External"/><Relationship Id="rId26" Type="http://schemas.openxmlformats.org/officeDocument/2006/relationships/hyperlink" Target="https://www.bsee.gov/guidance-and-regulations/guidance/safety-alerts-program" TargetMode="External"/><Relationship Id="rId27" Type="http://schemas.openxmlformats.org/officeDocument/2006/relationships/hyperlink" Target="https://www.bsee.gov/what-we-do/incident-investigations/offshore-incident-investigations" TargetMode="External"/><Relationship Id="rId28" Type="http://schemas.openxmlformats.org/officeDocument/2006/relationships/hyperlink" Target="https://www.bsee.gov/what-we-do/incident-investigations/offshore-incident-investigations/panel-investigation-reports" TargetMode="External"/><Relationship Id="rId29" Type="http://schemas.openxmlformats.org/officeDocument/2006/relationships/hyperlink" Target="https://www.csb.gov/investigations/completed-investigations/" TargetMode="External"/><Relationship Id="rId30" Type="http://schemas.openxmlformats.org/officeDocument/2006/relationships/hyperlink" Target="https://www.imca-int.com/resources/safety/safety-flashes/" TargetMode="External"/><Relationship Id="rId31" Type="http://schemas.openxmlformats.org/officeDocument/2006/relationships/hyperlink" Target="https://toolbox.energyinst.org/about-toolbox" TargetMode="External"/><Relationship Id="rId32" Type="http://schemas.openxmlformats.org/officeDocument/2006/relationships/hyperlink" Target="https://toolbox.energyinst.org/webinars" TargetMode="External"/><Relationship Id="rId33" Type="http://schemas.openxmlformats.org/officeDocument/2006/relationships/hyperlink" Target="https://www.stepchangeinsafety.com/alerts-learnings/" TargetMode="External"/><Relationship Id="rId34" Type="http://schemas.openxmlformats.org/officeDocument/2006/relationships/hyperlink" Target="https://www.phmsa.dot.gov/data-and-statistics/pipeline/distribution-transmission-gathering-lng-and-liquid-accident-and-incident-data" TargetMode="External"/><Relationship Id="rId35" Type="http://schemas.openxmlformats.org/officeDocument/2006/relationships/hyperlink" Target="https://www.phmsa.dot.gov/data-and-statistics/pipeline/pipeline-incident-flagged-files" TargetMode="External"/><Relationship Id="rId36" Type="http://schemas.openxmlformats.org/officeDocument/2006/relationships/hyperlink" Target="https://arlweb.msha.gov/OpenGovernmentData/OGIMSHA.asp" TargetMode="External"/><Relationship Id="rId37" Type="http://schemas.openxmlformats.org/officeDocument/2006/relationships/hyperlink" Target="https://arlweb.msha.gov/STATS/PART50/p50y2k/p50y2k.HTM" TargetMode="External"/><Relationship Id="rId38" Type="http://schemas.openxmlformats.org/officeDocument/2006/relationships/hyperlink" Target="https://www.kaggle.com/datasets/ihmstefanini/industrial-safety-and-health-analytics-database" TargetMode="External"/><Relationship Id="rId39" Type="http://schemas.openxmlformats.org/officeDocument/2006/relationships/hyperlink" Target="https://industry.eea.europa.eu/seveso/accidents/" TargetMode="External"/><Relationship Id="rId40" Type="http://schemas.openxmlformats.org/officeDocument/2006/relationships/hyperlink" Target="https://industry.eea.europa.eu/seveso/accidents/data-on-major-accidents" TargetMode="External"/><Relationship Id="rId41" Type="http://schemas.openxmlformats.org/officeDocument/2006/relationships/hyperlink" Target="https://data.europa.eu/data/datasets/5eb95b0d74b7d58155692f9b?locale=en" TargetMode="External"/><Relationship Id="rId42" Type="http://schemas.openxmlformats.org/officeDocument/2006/relationships/hyperlink" Target="https://www.aria.developpement-durable.gouv.fr/the-barpi/our-missions/?lang=en" TargetMode="External"/><Relationship Id="rId43" Type="http://schemas.openxmlformats.org/officeDocument/2006/relationships/hyperlink" Target="https://www.nopsema.gov.au/document-hub/alerts-and-bulletins" TargetMode="External"/><Relationship Id="rId44" Type="http://schemas.openxmlformats.org/officeDocument/2006/relationships/hyperlink" Target="https://www.havtil.no/en/supervision/investigation-reports/" TargetMode="External"/><Relationship Id="rId45" Type="http://schemas.openxmlformats.org/officeDocument/2006/relationships/hyperlink" Target="https://www.havtil.no/en/search-audit-reports/" TargetMode="External"/><Relationship Id="rId46" Type="http://schemas.openxmlformats.org/officeDocument/2006/relationships/hyperlink" Target="https://www.cdc.gov/niosh/oil-gas/about/fog/index.html" TargetMode="External"/><Relationship Id="rId47" Type="http://schemas.openxmlformats.org/officeDocument/2006/relationships/hyperlink" Target="https://www.hse.gov.uk/statistics/fatals-overview.htm" TargetMode="External"/><Relationship Id="rId48" Type="http://schemas.openxmlformats.org/officeDocument/2006/relationships/hyperlink" Target="https://www.hse.gov.uk/statistics/causinj/overview.htm" TargetMode="External"/><Relationship Id="rId49" Type="http://schemas.openxmlformats.org/officeDocument/2006/relationships/hyperlink" Target="https://www.iogp.org/workstreams/safety/safety/life-savingrules/" TargetMode="External"/><Relationship Id="rId50" Type="http://schemas.openxmlformats.org/officeDocument/2006/relationships/hyperlink" Target="https://data.iogp.org/Downloads/Safety/PotentialFPIExamples.pdf" TargetMode="External"/><Relationship Id="rId51" Type="http://schemas.openxmlformats.org/officeDocument/2006/relationships/hyperlink" Target="https://www.iogp.org/bookstore/product/safety-data-reporting-user-guide-scope-and-definitions-2025-data/" TargetMode="External"/><Relationship Id="rId52" Type="http://schemas.openxmlformats.org/officeDocument/2006/relationships/hyperlink" Target="https://www.dropsonline.org/drops-guidance-and-resources/" TargetMode="External"/><Relationship Id="rId53" Type="http://schemas.openxmlformats.org/officeDocument/2006/relationships/hyperlink" Target="https://www.oisd.gov.in/en-in/oisd-standards-list" TargetMode="External"/><Relationship Id="rId54" Type="http://schemas.openxmlformats.org/officeDocument/2006/relationships/hyperlink" Target="https://www.oisd.gov.in/en-in/purchase-of-standards" TargetMode="External"/><Relationship Id="rId55" Type="http://schemas.openxmlformats.org/officeDocument/2006/relationships/hyperlink" Target="https://www.oil-india.com/sustainability-at-oil" TargetMode="External"/><Relationship Id="rId56" Type="http://schemas.openxmlformats.org/officeDocument/2006/relationships/hyperlink" Target="https://www.oil-india.com/business-responsibility-sustainability-report" TargetMode="External"/><Relationship Id="rId57" Type="http://schemas.openxmlformats.org/officeDocument/2006/relationships/hyperlink" Target="https://dgfasli.gov.in/en/Standard-reference-notes" TargetMode="External"/><Relationship Id="rId58" Type="http://schemas.openxmlformats.org/officeDocument/2006/relationships/hyperlink" Target="https://dgfasli.gov.in/public/Admin/Cms/AllPdf/65154d1d4ccce9.7861320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SIH26165 Training Data Sources</dc:title>
  <dc:subject>SIF potential, IOGP Life-Saving Rules and precursor analysis</dc:subject>
  <dc:creator>SIH Project Team</dc:creator>
  <cp:keywords>SIH26165, Oil India, SIF, training data, incident narratives</cp:keywords>
  <dc:description>generated by python-docx</dc:description>
  <cp:lastModifiedBy/>
  <cp:revision>1</cp:revision>
  <dcterms:created xsi:type="dcterms:W3CDTF">2013-12-23T23:15:00Z</dcterms:created>
  <dcterms:modified xsi:type="dcterms:W3CDTF">2013-12-23T23:15:00Z</dcterms:modified>
  <cp:category/>
</cp:coreProperties>
</file>