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5E6F15" w14:textId="40DF0B9A" w:rsidR="00D56570" w:rsidRDefault="00000000" w:rsidP="00947804">
      <w:pPr>
        <w:spacing w:after="15" w:line="259" w:lineRule="auto"/>
        <w:ind w:left="47" w:firstLine="0"/>
        <w:jc w:val="center"/>
      </w:pPr>
      <w:r>
        <w:rPr>
          <w:color w:val="304875"/>
          <w:sz w:val="44"/>
          <w:u w:val="single" w:color="849ECD"/>
        </w:rPr>
        <w:t>Telecom Industry</w:t>
      </w:r>
    </w:p>
    <w:p w14:paraId="2BD86ABF" w14:textId="2D5A25BE" w:rsidR="00D56570" w:rsidRDefault="00000000" w:rsidP="00947804">
      <w:pPr>
        <w:spacing w:after="0" w:line="259" w:lineRule="auto"/>
        <w:ind w:left="494" w:firstLine="0"/>
        <w:jc w:val="center"/>
      </w:pPr>
      <w:r>
        <w:rPr>
          <w:color w:val="304875"/>
          <w:sz w:val="44"/>
        </w:rPr>
        <w:t>Customer Churn Analysis Report</w:t>
      </w:r>
    </w:p>
    <w:p w14:paraId="2883ED71" w14:textId="77777777" w:rsidR="00D56570" w:rsidRDefault="00000000">
      <w:pPr>
        <w:spacing w:after="398" w:line="259" w:lineRule="auto"/>
        <w:ind w:left="245" w:firstLine="0"/>
      </w:pPr>
      <w:r>
        <w:rPr>
          <w:rFonts w:ascii="Calibri" w:eastAsia="Calibri" w:hAnsi="Calibri" w:cs="Calibri"/>
          <w:noProof/>
          <w:sz w:val="22"/>
        </w:rPr>
        <mc:AlternateContent>
          <mc:Choice Requires="wpg">
            <w:drawing>
              <wp:inline distT="0" distB="0" distL="0" distR="0" wp14:anchorId="43206F5C" wp14:editId="4E5D0459">
                <wp:extent cx="5529072" cy="7620"/>
                <wp:effectExtent l="0" t="0" r="0" b="0"/>
                <wp:docPr id="1818" name="Group 1818"/>
                <wp:cNvGraphicFramePr/>
                <a:graphic xmlns:a="http://schemas.openxmlformats.org/drawingml/2006/main">
                  <a:graphicData uri="http://schemas.microsoft.com/office/word/2010/wordprocessingGroup">
                    <wpg:wgp>
                      <wpg:cNvGrpSpPr/>
                      <wpg:grpSpPr>
                        <a:xfrm>
                          <a:off x="0" y="0"/>
                          <a:ext cx="5529072" cy="7620"/>
                          <a:chOff x="0" y="0"/>
                          <a:chExt cx="5529072" cy="7620"/>
                        </a:xfrm>
                      </wpg:grpSpPr>
                      <wps:wsp>
                        <wps:cNvPr id="120" name="Shape 120"/>
                        <wps:cNvSpPr/>
                        <wps:spPr>
                          <a:xfrm>
                            <a:off x="0" y="0"/>
                            <a:ext cx="5529072" cy="7620"/>
                          </a:xfrm>
                          <a:custGeom>
                            <a:avLst/>
                            <a:gdLst/>
                            <a:ahLst/>
                            <a:cxnLst/>
                            <a:rect l="0" t="0" r="0" b="0"/>
                            <a:pathLst>
                              <a:path w="5529072" h="7620">
                                <a:moveTo>
                                  <a:pt x="0" y="0"/>
                                </a:moveTo>
                                <a:lnTo>
                                  <a:pt x="5529072" y="7620"/>
                                </a:lnTo>
                              </a:path>
                            </a:pathLst>
                          </a:custGeom>
                          <a:ln w="22860" cap="rnd">
                            <a:round/>
                          </a:ln>
                        </wps:spPr>
                        <wps:style>
                          <a:lnRef idx="1">
                            <a:srgbClr val="849EC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8" style="width:435.36pt;height:0.600006pt;mso-position-horizontal-relative:char;mso-position-vertical-relative:line" coordsize="55290,76">
                <v:shape id="Shape 120" style="position:absolute;width:55290;height:76;left:0;top:0;" coordsize="5529072,7620" path="m0,0l5529072,7620">
                  <v:stroke weight="1.8pt" endcap="round" joinstyle="round" on="true" color="#849ecd"/>
                  <v:fill on="false" color="#000000" opacity="0"/>
                </v:shape>
              </v:group>
            </w:pict>
          </mc:Fallback>
        </mc:AlternateContent>
      </w:r>
    </w:p>
    <w:tbl>
      <w:tblPr>
        <w:tblStyle w:val="TableGrid"/>
        <w:tblW w:w="2729" w:type="dxa"/>
        <w:tblInd w:w="2902" w:type="dxa"/>
        <w:tblCellMar>
          <w:top w:w="88" w:type="dxa"/>
          <w:left w:w="108" w:type="dxa"/>
          <w:bottom w:w="0" w:type="dxa"/>
          <w:right w:w="115" w:type="dxa"/>
        </w:tblCellMar>
        <w:tblLook w:val="04A0" w:firstRow="1" w:lastRow="0" w:firstColumn="1" w:lastColumn="0" w:noHBand="0" w:noVBand="1"/>
      </w:tblPr>
      <w:tblGrid>
        <w:gridCol w:w="2729"/>
      </w:tblGrid>
      <w:tr w:rsidR="00D56570" w14:paraId="65988387" w14:textId="77777777">
        <w:trPr>
          <w:trHeight w:val="550"/>
        </w:trPr>
        <w:tc>
          <w:tcPr>
            <w:tcW w:w="2729" w:type="dxa"/>
            <w:tcBorders>
              <w:top w:val="single" w:sz="4" w:space="0" w:color="999999"/>
              <w:left w:val="single" w:sz="4" w:space="0" w:color="999999"/>
              <w:bottom w:val="single" w:sz="12" w:space="0" w:color="666666"/>
              <w:right w:val="single" w:sz="4" w:space="0" w:color="999999"/>
            </w:tcBorders>
            <w:vAlign w:val="center"/>
          </w:tcPr>
          <w:p w14:paraId="6838C989" w14:textId="47CCF3AD" w:rsidR="00D56570" w:rsidRDefault="00000000" w:rsidP="00947804">
            <w:pPr>
              <w:spacing w:after="0" w:line="259" w:lineRule="auto"/>
              <w:ind w:left="288" w:firstLine="0"/>
            </w:pPr>
            <w:r>
              <w:rPr>
                <w:color w:val="304875"/>
                <w:sz w:val="36"/>
              </w:rPr>
              <w:t xml:space="preserve"> </w:t>
            </w:r>
            <w:r w:rsidRPr="00947804">
              <w:rPr>
                <w:b/>
                <w:bCs/>
                <w:color w:val="304875"/>
                <w:sz w:val="36"/>
              </w:rPr>
              <w:t>Index</w:t>
            </w:r>
          </w:p>
        </w:tc>
      </w:tr>
      <w:tr w:rsidR="00D56570" w14:paraId="7BF65CE1" w14:textId="77777777">
        <w:trPr>
          <w:trHeight w:val="1517"/>
        </w:trPr>
        <w:tc>
          <w:tcPr>
            <w:tcW w:w="2729" w:type="dxa"/>
            <w:tcBorders>
              <w:top w:val="single" w:sz="12" w:space="0" w:color="666666"/>
              <w:left w:val="single" w:sz="4" w:space="0" w:color="999999"/>
              <w:bottom w:val="single" w:sz="4" w:space="0" w:color="999999"/>
              <w:right w:val="single" w:sz="4" w:space="0" w:color="999999"/>
            </w:tcBorders>
          </w:tcPr>
          <w:p w14:paraId="26FACE6D" w14:textId="77777777" w:rsidR="00D56570" w:rsidRDefault="00000000">
            <w:pPr>
              <w:numPr>
                <w:ilvl w:val="0"/>
                <w:numId w:val="5"/>
              </w:numPr>
              <w:spacing w:after="1" w:line="259" w:lineRule="auto"/>
              <w:ind w:hanging="360"/>
            </w:pPr>
            <w:r>
              <w:rPr>
                <w:color w:val="304875"/>
                <w:sz w:val="24"/>
              </w:rPr>
              <w:t xml:space="preserve">Introduction </w:t>
            </w:r>
          </w:p>
          <w:p w14:paraId="7ECDF327" w14:textId="77777777" w:rsidR="00D56570" w:rsidRDefault="00000000">
            <w:pPr>
              <w:numPr>
                <w:ilvl w:val="0"/>
                <w:numId w:val="5"/>
              </w:numPr>
              <w:spacing w:after="1" w:line="259" w:lineRule="auto"/>
              <w:ind w:hanging="360"/>
            </w:pPr>
            <w:r>
              <w:rPr>
                <w:color w:val="304875"/>
                <w:sz w:val="24"/>
              </w:rPr>
              <w:t xml:space="preserve">Abstract </w:t>
            </w:r>
          </w:p>
          <w:p w14:paraId="3DF60AEA" w14:textId="77777777" w:rsidR="00D56570" w:rsidRDefault="00000000">
            <w:pPr>
              <w:numPr>
                <w:ilvl w:val="0"/>
                <w:numId w:val="5"/>
              </w:numPr>
              <w:spacing w:after="2" w:line="259" w:lineRule="auto"/>
              <w:ind w:hanging="360"/>
            </w:pPr>
            <w:r>
              <w:rPr>
                <w:color w:val="304875"/>
                <w:sz w:val="24"/>
              </w:rPr>
              <w:t xml:space="preserve">Tools used </w:t>
            </w:r>
          </w:p>
          <w:p w14:paraId="230D94A4" w14:textId="77777777" w:rsidR="00D56570" w:rsidRDefault="00000000">
            <w:pPr>
              <w:numPr>
                <w:ilvl w:val="0"/>
                <w:numId w:val="5"/>
              </w:numPr>
              <w:spacing w:after="11" w:line="259" w:lineRule="auto"/>
              <w:ind w:hanging="360"/>
            </w:pPr>
            <w:r>
              <w:rPr>
                <w:color w:val="304875"/>
                <w:sz w:val="24"/>
              </w:rPr>
              <w:t xml:space="preserve">Steps Involve </w:t>
            </w:r>
          </w:p>
          <w:p w14:paraId="5B0C250D" w14:textId="77777777" w:rsidR="00D56570" w:rsidRDefault="00000000">
            <w:pPr>
              <w:numPr>
                <w:ilvl w:val="0"/>
                <w:numId w:val="5"/>
              </w:numPr>
              <w:spacing w:after="0" w:line="259" w:lineRule="auto"/>
              <w:ind w:hanging="360"/>
            </w:pPr>
            <w:r>
              <w:rPr>
                <w:color w:val="304875"/>
                <w:sz w:val="24"/>
              </w:rPr>
              <w:t>conclusion</w:t>
            </w:r>
            <w:r>
              <w:rPr>
                <w:color w:val="304875"/>
                <w:sz w:val="18"/>
              </w:rPr>
              <w:t xml:space="preserve"> </w:t>
            </w:r>
          </w:p>
        </w:tc>
      </w:tr>
    </w:tbl>
    <w:p w14:paraId="355618ED" w14:textId="77777777" w:rsidR="00D56570" w:rsidRDefault="00000000">
      <w:pPr>
        <w:spacing w:after="223" w:line="259" w:lineRule="auto"/>
        <w:ind w:left="0" w:firstLine="0"/>
      </w:pPr>
      <w:r>
        <w:rPr>
          <w:color w:val="304875"/>
          <w:sz w:val="24"/>
        </w:rPr>
        <w:t xml:space="preserve"> </w:t>
      </w:r>
    </w:p>
    <w:p w14:paraId="4307193C" w14:textId="77777777" w:rsidR="00D56570" w:rsidRDefault="00000000">
      <w:pPr>
        <w:numPr>
          <w:ilvl w:val="0"/>
          <w:numId w:val="1"/>
        </w:numPr>
        <w:spacing w:after="0"/>
        <w:ind w:hanging="240"/>
      </w:pPr>
      <w:r w:rsidRPr="00947804">
        <w:rPr>
          <w:b/>
          <w:bCs/>
          <w:color w:val="304875"/>
          <w:sz w:val="24"/>
        </w:rPr>
        <w:t>Introduction:</w:t>
      </w:r>
      <w:r>
        <w:rPr>
          <w:sz w:val="32"/>
        </w:rPr>
        <w:t xml:space="preserve"> </w:t>
      </w:r>
      <w:r>
        <w:t xml:space="preserve">Customer churn is one of the most critical challenges faced by telecom companies. </w:t>
      </w:r>
    </w:p>
    <w:p w14:paraId="025FE42C" w14:textId="77777777" w:rsidR="00D56570" w:rsidRDefault="00000000">
      <w:pPr>
        <w:spacing w:after="127"/>
        <w:ind w:left="-5"/>
      </w:pPr>
      <w:r>
        <w:t xml:space="preserve">Churn refers to customers leaving the service provider and switching to competitors. Analyzing churn helps organizations understand customer behavior, identify key factors influencing churn, and design retention strategies. </w:t>
      </w:r>
    </w:p>
    <w:p w14:paraId="33C12980" w14:textId="77777777" w:rsidR="00D56570" w:rsidRDefault="00000000">
      <w:pPr>
        <w:spacing w:after="163"/>
        <w:ind w:left="-5"/>
      </w:pPr>
      <w:r>
        <w:t xml:space="preserve">This project focuses on analyzing telecom customer churn using business intelligence techniques. The aim is to evaluate churn trends across different demographics, salary segments, telecom partners, and service usage behaviors, thereby helping management make data-driven decisions. </w:t>
      </w:r>
    </w:p>
    <w:p w14:paraId="1461F237" w14:textId="77777777" w:rsidR="00D56570" w:rsidRPr="00947804" w:rsidRDefault="00000000">
      <w:pPr>
        <w:spacing w:after="167" w:line="259" w:lineRule="auto"/>
        <w:ind w:left="-936" w:right="-709" w:firstLine="0"/>
        <w:rPr>
          <w:b/>
          <w:bCs/>
        </w:rPr>
      </w:pPr>
      <w:r>
        <w:rPr>
          <w:rFonts w:ascii="Calibri" w:eastAsia="Calibri" w:hAnsi="Calibri" w:cs="Calibri"/>
          <w:noProof/>
          <w:sz w:val="22"/>
        </w:rPr>
        <mc:AlternateContent>
          <mc:Choice Requires="wpg">
            <w:drawing>
              <wp:inline distT="0" distB="0" distL="0" distR="0" wp14:anchorId="617CA1B2" wp14:editId="055421EE">
                <wp:extent cx="6952488" cy="9144"/>
                <wp:effectExtent l="0" t="0" r="0" b="0"/>
                <wp:docPr id="1819" name="Group 1819"/>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21" name="Shape 121"/>
                        <wps:cNvSpPr/>
                        <wps:spPr>
                          <a:xfrm>
                            <a:off x="0" y="0"/>
                            <a:ext cx="6952488" cy="9144"/>
                          </a:xfrm>
                          <a:custGeom>
                            <a:avLst/>
                            <a:gdLst/>
                            <a:ahLst/>
                            <a:cxnLst/>
                            <a:rect l="0" t="0" r="0" b="0"/>
                            <a:pathLst>
                              <a:path w="6952488" h="9144">
                                <a:moveTo>
                                  <a:pt x="0" y="0"/>
                                </a:moveTo>
                                <a:lnTo>
                                  <a:pt x="6952488" y="9144"/>
                                </a:lnTo>
                              </a:path>
                            </a:pathLst>
                          </a:custGeom>
                          <a:ln w="12192" cap="rnd">
                            <a:round/>
                          </a:ln>
                        </wps:spPr>
                        <wps:style>
                          <a:lnRef idx="1">
                            <a:srgbClr val="849EC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19" style="width:547.44pt;height:0.719971pt;mso-position-horizontal-relative:char;mso-position-vertical-relative:line" coordsize="69524,91">
                <v:shape id="Shape 121" style="position:absolute;width:69524;height:91;left:0;top:0;" coordsize="6952488,9144" path="m0,0l6952488,9144">
                  <v:stroke weight="0.96pt" endcap="round" joinstyle="round" on="true" color="#849ecd"/>
                  <v:fill on="false" color="#000000" opacity="0"/>
                </v:shape>
              </v:group>
            </w:pict>
          </mc:Fallback>
        </mc:AlternateContent>
      </w:r>
      <w:r w:rsidRPr="00947804">
        <w:rPr>
          <w:b/>
          <w:bCs/>
          <w:color w:val="304875"/>
          <w:sz w:val="24"/>
        </w:rPr>
        <w:t xml:space="preserve"> </w:t>
      </w:r>
    </w:p>
    <w:p w14:paraId="0C95E2E1" w14:textId="77777777" w:rsidR="00D56570" w:rsidRDefault="00000000">
      <w:pPr>
        <w:numPr>
          <w:ilvl w:val="0"/>
          <w:numId w:val="1"/>
        </w:numPr>
        <w:spacing w:after="125"/>
        <w:ind w:hanging="240"/>
      </w:pPr>
      <w:r w:rsidRPr="00947804">
        <w:rPr>
          <w:b/>
          <w:bCs/>
          <w:color w:val="304875"/>
          <w:sz w:val="24"/>
        </w:rPr>
        <w:t>Abstract:</w:t>
      </w:r>
      <w:r>
        <w:rPr>
          <w:sz w:val="24"/>
        </w:rPr>
        <w:t xml:space="preserve"> </w:t>
      </w:r>
      <w:r>
        <w:t xml:space="preserve">This project leverages Excel and Power BI to analyze customer churn from a telecom dataset. Excel was used for initial data cleaning and processing, while Power BI was used for visualization and dashboard creation. </w:t>
      </w:r>
    </w:p>
    <w:p w14:paraId="6D2D7C5F" w14:textId="77777777" w:rsidR="00D56570" w:rsidRDefault="00000000">
      <w:pPr>
        <w:ind w:left="-5"/>
      </w:pPr>
      <w:r>
        <w:t xml:space="preserve">Key findings from the analysis include: </w:t>
      </w:r>
    </w:p>
    <w:p w14:paraId="05092FEB" w14:textId="77777777" w:rsidR="00D56570" w:rsidRDefault="00000000">
      <w:pPr>
        <w:numPr>
          <w:ilvl w:val="0"/>
          <w:numId w:val="2"/>
        </w:numPr>
        <w:spacing w:after="223" w:line="259" w:lineRule="auto"/>
        <w:ind w:hanging="360"/>
      </w:pPr>
      <w:r>
        <w:t xml:space="preserve">Out of 244K customers, 49K churned, giving a 20% churn rate. </w:t>
      </w:r>
    </w:p>
    <w:p w14:paraId="4C7FF0F5" w14:textId="77777777" w:rsidR="00D56570" w:rsidRDefault="00000000">
      <w:pPr>
        <w:numPr>
          <w:ilvl w:val="0"/>
          <w:numId w:val="2"/>
        </w:numPr>
        <w:ind w:hanging="360"/>
      </w:pPr>
      <w:r>
        <w:t xml:space="preserve">Mid-aged (43.9%) and adult (40.1%) groups account for the highest churn. </w:t>
      </w:r>
    </w:p>
    <w:p w14:paraId="634BD5BF" w14:textId="77777777" w:rsidR="00D56570" w:rsidRDefault="00000000">
      <w:pPr>
        <w:numPr>
          <w:ilvl w:val="0"/>
          <w:numId w:val="2"/>
        </w:numPr>
        <w:ind w:hanging="360"/>
      </w:pPr>
      <w:r>
        <w:t xml:space="preserve">High-income and very high-income customers show greater churn tendency. </w:t>
      </w:r>
    </w:p>
    <w:p w14:paraId="6F53EC0E" w14:textId="77777777" w:rsidR="00D56570" w:rsidRDefault="00000000">
      <w:pPr>
        <w:numPr>
          <w:ilvl w:val="0"/>
          <w:numId w:val="2"/>
        </w:numPr>
        <w:ind w:hanging="360"/>
      </w:pPr>
      <w:r>
        <w:t xml:space="preserve">Airtel and Reliance Jio customers recorded higher churn rates compared to Vodafone and BSNL. </w:t>
      </w:r>
    </w:p>
    <w:p w14:paraId="0193D5F7" w14:textId="77777777" w:rsidR="00D56570" w:rsidRDefault="00000000">
      <w:pPr>
        <w:numPr>
          <w:ilvl w:val="0"/>
          <w:numId w:val="2"/>
        </w:numPr>
        <w:ind w:hanging="360"/>
      </w:pPr>
      <w:r>
        <w:t xml:space="preserve">Male customers (29K) churned more than female customers (20K). </w:t>
      </w:r>
    </w:p>
    <w:p w14:paraId="1F842865" w14:textId="77777777" w:rsidR="00D56570" w:rsidRDefault="00000000">
      <w:pPr>
        <w:numPr>
          <w:ilvl w:val="0"/>
          <w:numId w:val="2"/>
        </w:numPr>
        <w:spacing w:after="175"/>
        <w:ind w:hanging="360"/>
      </w:pPr>
      <w:r>
        <w:t xml:space="preserve">Customers with larger families had slightly higher churn compared to solos. </w:t>
      </w:r>
    </w:p>
    <w:p w14:paraId="2C0E5EFE" w14:textId="77777777" w:rsidR="00D56570" w:rsidRDefault="00000000">
      <w:pPr>
        <w:spacing w:after="0"/>
        <w:ind w:left="-5"/>
      </w:pPr>
      <w:r>
        <w:t xml:space="preserve">These insights help telecom providers design targeted offers and improve service quality to reduce churn. </w:t>
      </w:r>
    </w:p>
    <w:p w14:paraId="3E5F135F" w14:textId="77777777" w:rsidR="00D56570" w:rsidRDefault="00000000">
      <w:pPr>
        <w:spacing w:after="49" w:line="259" w:lineRule="auto"/>
        <w:ind w:left="-948" w:right="-697" w:firstLine="0"/>
      </w:pPr>
      <w:r>
        <w:rPr>
          <w:rFonts w:ascii="Calibri" w:eastAsia="Calibri" w:hAnsi="Calibri" w:cs="Calibri"/>
          <w:noProof/>
          <w:sz w:val="22"/>
        </w:rPr>
        <mc:AlternateContent>
          <mc:Choice Requires="wpg">
            <w:drawing>
              <wp:inline distT="0" distB="0" distL="0" distR="0" wp14:anchorId="07A64908" wp14:editId="114C79C5">
                <wp:extent cx="6952488" cy="9144"/>
                <wp:effectExtent l="0" t="0" r="0" b="0"/>
                <wp:docPr id="1820" name="Group 1820"/>
                <wp:cNvGraphicFramePr/>
                <a:graphic xmlns:a="http://schemas.openxmlformats.org/drawingml/2006/main">
                  <a:graphicData uri="http://schemas.microsoft.com/office/word/2010/wordprocessingGroup">
                    <wpg:wgp>
                      <wpg:cNvGrpSpPr/>
                      <wpg:grpSpPr>
                        <a:xfrm>
                          <a:off x="0" y="0"/>
                          <a:ext cx="6952488" cy="9144"/>
                          <a:chOff x="0" y="0"/>
                          <a:chExt cx="6952488" cy="9144"/>
                        </a:xfrm>
                      </wpg:grpSpPr>
                      <wps:wsp>
                        <wps:cNvPr id="122" name="Shape 122"/>
                        <wps:cNvSpPr/>
                        <wps:spPr>
                          <a:xfrm>
                            <a:off x="0" y="0"/>
                            <a:ext cx="6952488" cy="9144"/>
                          </a:xfrm>
                          <a:custGeom>
                            <a:avLst/>
                            <a:gdLst/>
                            <a:ahLst/>
                            <a:cxnLst/>
                            <a:rect l="0" t="0" r="0" b="0"/>
                            <a:pathLst>
                              <a:path w="6952488" h="9144">
                                <a:moveTo>
                                  <a:pt x="0" y="0"/>
                                </a:moveTo>
                                <a:lnTo>
                                  <a:pt x="6952488" y="9144"/>
                                </a:lnTo>
                              </a:path>
                            </a:pathLst>
                          </a:custGeom>
                          <a:ln w="12192" cap="rnd">
                            <a:round/>
                          </a:ln>
                        </wps:spPr>
                        <wps:style>
                          <a:lnRef idx="1">
                            <a:srgbClr val="849EC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820" style="width:547.44pt;height:0.719971pt;mso-position-horizontal-relative:char;mso-position-vertical-relative:line" coordsize="69524,91">
                <v:shape id="Shape 122" style="position:absolute;width:69524;height:91;left:0;top:0;" coordsize="6952488,9144" path="m0,0l6952488,9144">
                  <v:stroke weight="0.96pt" endcap="round" joinstyle="round" on="true" color="#849ecd"/>
                  <v:fill on="false" color="#000000" opacity="0"/>
                </v:shape>
              </v:group>
            </w:pict>
          </mc:Fallback>
        </mc:AlternateContent>
      </w:r>
    </w:p>
    <w:p w14:paraId="60770494" w14:textId="77777777" w:rsidR="00D56570" w:rsidRDefault="00000000">
      <w:pPr>
        <w:spacing w:after="210" w:line="259" w:lineRule="auto"/>
        <w:ind w:left="0" w:firstLine="0"/>
      </w:pPr>
      <w:r>
        <w:rPr>
          <w:color w:val="304875"/>
          <w:sz w:val="24"/>
        </w:rPr>
        <w:t xml:space="preserve"> </w:t>
      </w:r>
    </w:p>
    <w:p w14:paraId="50F79AD9" w14:textId="77777777" w:rsidR="00D56570" w:rsidRPr="00947804" w:rsidRDefault="00000000">
      <w:pPr>
        <w:pStyle w:val="Heading1"/>
        <w:spacing w:after="85"/>
        <w:ind w:left="309" w:hanging="324"/>
        <w:rPr>
          <w:b/>
          <w:bCs/>
        </w:rPr>
      </w:pPr>
      <w:r w:rsidRPr="00947804">
        <w:rPr>
          <w:b/>
          <w:bCs/>
        </w:rPr>
        <w:t>Tools Used</w:t>
      </w:r>
      <w:r w:rsidRPr="00947804">
        <w:rPr>
          <w:b/>
          <w:bCs/>
          <w:color w:val="000000"/>
        </w:rPr>
        <w:t xml:space="preserve"> </w:t>
      </w:r>
    </w:p>
    <w:p w14:paraId="611A0EDA" w14:textId="77777777" w:rsidR="00947804" w:rsidRDefault="00000000">
      <w:pPr>
        <w:spacing w:after="41"/>
        <w:ind w:left="-5" w:right="2281"/>
      </w:pPr>
      <w:r>
        <w:t xml:space="preserve">o </w:t>
      </w:r>
      <w:r w:rsidRPr="00947804">
        <w:rPr>
          <w:b/>
          <w:bCs/>
        </w:rPr>
        <w:t>Excel –</w:t>
      </w:r>
      <w:r>
        <w:t xml:space="preserve"> for data cleaning, preprocessing, and handling missing values. </w:t>
      </w:r>
    </w:p>
    <w:p w14:paraId="37C8581F" w14:textId="77777777" w:rsidR="00947804" w:rsidRDefault="00000000">
      <w:pPr>
        <w:spacing w:after="41"/>
        <w:ind w:left="-5" w:right="2281"/>
      </w:pPr>
      <w:r>
        <w:t xml:space="preserve">o </w:t>
      </w:r>
      <w:r w:rsidRPr="00947804">
        <w:rPr>
          <w:b/>
          <w:bCs/>
        </w:rPr>
        <w:t>Power BI –</w:t>
      </w:r>
      <w:r>
        <w:t xml:space="preserve"> for data modeling, interactive dashboards, and visualization. </w:t>
      </w:r>
    </w:p>
    <w:p w14:paraId="47A3622E" w14:textId="16E78CDC" w:rsidR="00D56570" w:rsidRDefault="00000000" w:rsidP="00947804">
      <w:pPr>
        <w:spacing w:after="41"/>
        <w:ind w:left="-5" w:right="2281"/>
      </w:pPr>
      <w:r>
        <w:t>o</w:t>
      </w:r>
      <w:r w:rsidRPr="00947804">
        <w:rPr>
          <w:b/>
          <w:bCs/>
        </w:rPr>
        <w:t xml:space="preserve"> DAX (Data Analysis Expressions) –</w:t>
      </w:r>
      <w:r>
        <w:t xml:space="preserve"> for creating measures such as churn ra</w:t>
      </w:r>
      <w:r w:rsidR="00947804">
        <w:t>te.</w:t>
      </w:r>
      <w:r>
        <w:rPr>
          <w:sz w:val="24"/>
        </w:rPr>
        <w:t xml:space="preserve"> </w:t>
      </w:r>
    </w:p>
    <w:p w14:paraId="5E2F135B" w14:textId="03CE1DC0" w:rsidR="00D56570" w:rsidRDefault="00000000" w:rsidP="00947804">
      <w:pPr>
        <w:spacing w:after="0" w:line="259" w:lineRule="auto"/>
        <w:ind w:left="0" w:firstLine="0"/>
      </w:pPr>
      <w:r>
        <w:rPr>
          <w:sz w:val="24"/>
        </w:rPr>
        <w:lastRenderedPageBreak/>
        <w:t xml:space="preserve"> </w:t>
      </w:r>
    </w:p>
    <w:p w14:paraId="4F0674AE" w14:textId="77777777" w:rsidR="00D56570" w:rsidRPr="00947804" w:rsidRDefault="00000000">
      <w:pPr>
        <w:pStyle w:val="Heading1"/>
        <w:ind w:left="289" w:hanging="304"/>
        <w:rPr>
          <w:b/>
          <w:bCs/>
        </w:rPr>
      </w:pPr>
      <w:r w:rsidRPr="00947804">
        <w:rPr>
          <w:b/>
          <w:bCs/>
        </w:rPr>
        <w:t>Steps Involved in Building the Project</w:t>
      </w:r>
      <w:r w:rsidRPr="00947804">
        <w:rPr>
          <w:b/>
          <w:bCs/>
          <w:color w:val="000000"/>
        </w:rPr>
        <w:t xml:space="preserve"> </w:t>
      </w:r>
    </w:p>
    <w:p w14:paraId="2F58B216" w14:textId="77777777" w:rsidR="00947804" w:rsidRPr="00947804" w:rsidRDefault="00000000">
      <w:pPr>
        <w:numPr>
          <w:ilvl w:val="0"/>
          <w:numId w:val="3"/>
        </w:numPr>
        <w:spacing w:after="28" w:line="456" w:lineRule="auto"/>
        <w:ind w:right="1432" w:hanging="360"/>
      </w:pPr>
      <w:r>
        <w:rPr>
          <w:color w:val="839DCC"/>
        </w:rPr>
        <w:t xml:space="preserve">Data Collection &amp; Preprocessing </w:t>
      </w:r>
    </w:p>
    <w:p w14:paraId="45B72342" w14:textId="7447AECA" w:rsidR="00D56570" w:rsidRDefault="00000000" w:rsidP="00947804">
      <w:pPr>
        <w:pStyle w:val="ListParagraph"/>
        <w:numPr>
          <w:ilvl w:val="0"/>
          <w:numId w:val="9"/>
        </w:numPr>
        <w:spacing w:after="28" w:line="456" w:lineRule="auto"/>
        <w:ind w:left="648" w:right="1432"/>
      </w:pPr>
      <w:r>
        <w:t xml:space="preserve">Imported raw telecom dataset into Excel. </w:t>
      </w:r>
    </w:p>
    <w:p w14:paraId="1DD071F9" w14:textId="77777777" w:rsidR="00D56570" w:rsidRDefault="00000000" w:rsidP="00947804">
      <w:pPr>
        <w:numPr>
          <w:ilvl w:val="1"/>
          <w:numId w:val="3"/>
        </w:numPr>
        <w:ind w:left="648" w:hanging="360"/>
      </w:pPr>
      <w:r>
        <w:t xml:space="preserve">Cleaned data by handling missing values, removing duplicates, and standardizing formats. </w:t>
      </w:r>
    </w:p>
    <w:p w14:paraId="60B10C83" w14:textId="77777777" w:rsidR="00D56570" w:rsidRDefault="00000000" w:rsidP="00947804">
      <w:pPr>
        <w:numPr>
          <w:ilvl w:val="1"/>
          <w:numId w:val="3"/>
        </w:numPr>
        <w:ind w:left="648" w:hanging="360"/>
      </w:pPr>
      <w:r>
        <w:t xml:space="preserve">Exported processed dataset for visualization. </w:t>
      </w:r>
    </w:p>
    <w:p w14:paraId="0339DA21" w14:textId="77777777" w:rsidR="00D56570" w:rsidRDefault="00000000">
      <w:pPr>
        <w:numPr>
          <w:ilvl w:val="0"/>
          <w:numId w:val="3"/>
        </w:numPr>
        <w:spacing w:after="188" w:line="259" w:lineRule="auto"/>
        <w:ind w:right="1432" w:hanging="360"/>
      </w:pPr>
      <w:r>
        <w:rPr>
          <w:color w:val="839DCC"/>
        </w:rPr>
        <w:t xml:space="preserve">Data Modeling in Power BI </w:t>
      </w:r>
    </w:p>
    <w:p w14:paraId="5D71E3FA" w14:textId="77777777" w:rsidR="00D56570" w:rsidRDefault="00000000" w:rsidP="00947804">
      <w:pPr>
        <w:numPr>
          <w:ilvl w:val="1"/>
          <w:numId w:val="3"/>
        </w:numPr>
        <w:ind w:left="648" w:hanging="360"/>
      </w:pPr>
      <w:r>
        <w:t xml:space="preserve">Established relationships between demographic, service usage, and churn fields. </w:t>
      </w:r>
    </w:p>
    <w:p w14:paraId="7543CC4E" w14:textId="77777777" w:rsidR="00D56570" w:rsidRDefault="00000000" w:rsidP="00947804">
      <w:pPr>
        <w:numPr>
          <w:ilvl w:val="1"/>
          <w:numId w:val="3"/>
        </w:numPr>
        <w:ind w:left="648" w:hanging="360"/>
      </w:pPr>
      <w:r>
        <w:t xml:space="preserve">Created measures like churn rate and customer distribution. </w:t>
      </w:r>
    </w:p>
    <w:p w14:paraId="4501BF0D" w14:textId="77777777" w:rsidR="00D56570" w:rsidRDefault="00000000">
      <w:pPr>
        <w:numPr>
          <w:ilvl w:val="0"/>
          <w:numId w:val="3"/>
        </w:numPr>
        <w:spacing w:after="188" w:line="259" w:lineRule="auto"/>
        <w:ind w:right="1432" w:hanging="360"/>
      </w:pPr>
      <w:r>
        <w:rPr>
          <w:color w:val="839DCC"/>
        </w:rPr>
        <w:t xml:space="preserve">Dashboard Design </w:t>
      </w:r>
    </w:p>
    <w:p w14:paraId="4446872C" w14:textId="77777777" w:rsidR="00947804" w:rsidRDefault="00000000" w:rsidP="00947804">
      <w:pPr>
        <w:numPr>
          <w:ilvl w:val="1"/>
          <w:numId w:val="3"/>
        </w:numPr>
        <w:spacing w:after="15" w:line="470" w:lineRule="auto"/>
        <w:ind w:left="648" w:hanging="360"/>
      </w:pPr>
      <w:r>
        <w:t>Added KPI cards (average calls, SMS, data usage, total customers, churned customers, churn rate).</w:t>
      </w:r>
    </w:p>
    <w:p w14:paraId="6F0B3328" w14:textId="57767362" w:rsidR="00D56570" w:rsidRDefault="00000000" w:rsidP="00947804">
      <w:pPr>
        <w:spacing w:after="15" w:line="470" w:lineRule="auto"/>
        <w:ind w:left="288" w:firstLine="0"/>
      </w:pPr>
      <w:r>
        <w:t xml:space="preserve">o </w:t>
      </w:r>
      <w:r w:rsidR="00947804">
        <w:t xml:space="preserve">    </w:t>
      </w:r>
      <w:r>
        <w:t xml:space="preserve">Designed charts for churn analysis by salary, age, gender, tenure, and telecom partner. </w:t>
      </w:r>
    </w:p>
    <w:p w14:paraId="1BB672C7" w14:textId="77777777" w:rsidR="00D56570" w:rsidRDefault="00000000" w:rsidP="00947804">
      <w:pPr>
        <w:numPr>
          <w:ilvl w:val="1"/>
          <w:numId w:val="3"/>
        </w:numPr>
        <w:ind w:left="648" w:hanging="360"/>
      </w:pPr>
      <w:r>
        <w:t xml:space="preserve">Added a map to display churn distribution across states. </w:t>
      </w:r>
    </w:p>
    <w:p w14:paraId="6F8CFF72" w14:textId="77777777" w:rsidR="00947804" w:rsidRPr="00947804" w:rsidRDefault="00000000">
      <w:pPr>
        <w:numPr>
          <w:ilvl w:val="0"/>
          <w:numId w:val="3"/>
        </w:numPr>
        <w:spacing w:after="8" w:line="480" w:lineRule="auto"/>
        <w:ind w:right="1432" w:hanging="360"/>
      </w:pPr>
      <w:r>
        <w:rPr>
          <w:color w:val="839DCC"/>
        </w:rPr>
        <w:t xml:space="preserve">Insights Generation </w:t>
      </w:r>
    </w:p>
    <w:p w14:paraId="5661AE2F" w14:textId="7C641B22" w:rsidR="00947804" w:rsidRDefault="00000000" w:rsidP="00947804">
      <w:pPr>
        <w:pStyle w:val="ListParagraph"/>
        <w:numPr>
          <w:ilvl w:val="0"/>
          <w:numId w:val="8"/>
        </w:numPr>
        <w:spacing w:after="8" w:line="480" w:lineRule="auto"/>
        <w:ind w:left="648" w:right="1432"/>
      </w:pPr>
      <w:r>
        <w:t>Identified customer groups with the highest churn probability.</w:t>
      </w:r>
    </w:p>
    <w:p w14:paraId="415E0FD7" w14:textId="06690B1A" w:rsidR="00D56570" w:rsidRDefault="00000000" w:rsidP="00947804">
      <w:pPr>
        <w:spacing w:after="8" w:line="480" w:lineRule="auto"/>
        <w:ind w:left="288" w:right="1432" w:firstLine="0"/>
      </w:pPr>
      <w:r w:rsidRPr="00947804">
        <w:t xml:space="preserve">o </w:t>
      </w:r>
      <w:r w:rsidR="00947804">
        <w:t xml:space="preserve">    </w:t>
      </w:r>
      <w:r>
        <w:t xml:space="preserve">Compared churn by telecom partners to evaluate competitive risks. </w:t>
      </w:r>
    </w:p>
    <w:p w14:paraId="509272E3" w14:textId="77777777" w:rsidR="00D56570" w:rsidRDefault="00000000" w:rsidP="00947804">
      <w:pPr>
        <w:numPr>
          <w:ilvl w:val="1"/>
          <w:numId w:val="3"/>
        </w:numPr>
        <w:spacing w:after="0"/>
        <w:ind w:left="648" w:hanging="360"/>
      </w:pPr>
      <w:r>
        <w:t xml:space="preserve">Tracked churn trends over time for stability. </w:t>
      </w:r>
    </w:p>
    <w:p w14:paraId="1D4E48C2" w14:textId="77777777" w:rsidR="00D56570" w:rsidRDefault="00000000">
      <w:pPr>
        <w:spacing w:after="43" w:line="259" w:lineRule="auto"/>
        <w:ind w:left="-934" w:right="-711" w:firstLine="0"/>
      </w:pPr>
      <w:r>
        <w:rPr>
          <w:rFonts w:ascii="Calibri" w:eastAsia="Calibri" w:hAnsi="Calibri" w:cs="Calibri"/>
          <w:noProof/>
          <w:sz w:val="22"/>
        </w:rPr>
        <mc:AlternateContent>
          <mc:Choice Requires="wpg">
            <w:drawing>
              <wp:inline distT="0" distB="0" distL="0" distR="0" wp14:anchorId="73920B71" wp14:editId="44CDEE8E">
                <wp:extent cx="6952488" cy="7620"/>
                <wp:effectExtent l="0" t="0" r="0" b="0"/>
                <wp:docPr id="1619" name="Group 1619"/>
                <wp:cNvGraphicFramePr/>
                <a:graphic xmlns:a="http://schemas.openxmlformats.org/drawingml/2006/main">
                  <a:graphicData uri="http://schemas.microsoft.com/office/word/2010/wordprocessingGroup">
                    <wpg:wgp>
                      <wpg:cNvGrpSpPr/>
                      <wpg:grpSpPr>
                        <a:xfrm>
                          <a:off x="0" y="0"/>
                          <a:ext cx="6952488" cy="7620"/>
                          <a:chOff x="0" y="0"/>
                          <a:chExt cx="6952488" cy="7620"/>
                        </a:xfrm>
                      </wpg:grpSpPr>
                      <wps:wsp>
                        <wps:cNvPr id="209" name="Shape 209"/>
                        <wps:cNvSpPr/>
                        <wps:spPr>
                          <a:xfrm>
                            <a:off x="0" y="0"/>
                            <a:ext cx="6952488" cy="7620"/>
                          </a:xfrm>
                          <a:custGeom>
                            <a:avLst/>
                            <a:gdLst/>
                            <a:ahLst/>
                            <a:cxnLst/>
                            <a:rect l="0" t="0" r="0" b="0"/>
                            <a:pathLst>
                              <a:path w="6952488" h="7620">
                                <a:moveTo>
                                  <a:pt x="0" y="0"/>
                                </a:moveTo>
                                <a:lnTo>
                                  <a:pt x="6952488" y="7620"/>
                                </a:lnTo>
                              </a:path>
                            </a:pathLst>
                          </a:custGeom>
                          <a:ln w="12192" cap="rnd">
                            <a:round/>
                          </a:ln>
                        </wps:spPr>
                        <wps:style>
                          <a:lnRef idx="1">
                            <a:srgbClr val="849EC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1619" style="width:547.44pt;height:0.600006pt;mso-position-horizontal-relative:char;mso-position-vertical-relative:line" coordsize="69524,76">
                <v:shape id="Shape 209" style="position:absolute;width:69524;height:76;left:0;top:0;" coordsize="6952488,7620" path="m0,0l6952488,7620">
                  <v:stroke weight="0.96pt" endcap="round" joinstyle="round" on="true" color="#849ecd"/>
                  <v:fill on="false" color="#000000" opacity="0"/>
                </v:shape>
              </v:group>
            </w:pict>
          </mc:Fallback>
        </mc:AlternateContent>
      </w:r>
    </w:p>
    <w:p w14:paraId="5F49E93B" w14:textId="77777777" w:rsidR="00D56570" w:rsidRDefault="00000000">
      <w:pPr>
        <w:spacing w:after="132" w:line="259" w:lineRule="auto"/>
        <w:ind w:left="0" w:firstLine="0"/>
      </w:pPr>
      <w:r>
        <w:rPr>
          <w:sz w:val="24"/>
        </w:rPr>
        <w:t xml:space="preserve"> </w:t>
      </w:r>
    </w:p>
    <w:p w14:paraId="31856376" w14:textId="77777777" w:rsidR="00D56570" w:rsidRPr="00947804" w:rsidRDefault="00000000">
      <w:pPr>
        <w:pStyle w:val="Heading1"/>
        <w:ind w:left="289" w:hanging="304"/>
        <w:rPr>
          <w:b/>
          <w:bCs/>
        </w:rPr>
      </w:pPr>
      <w:r w:rsidRPr="00947804">
        <w:rPr>
          <w:b/>
          <w:bCs/>
        </w:rPr>
        <w:t>Conclusion</w:t>
      </w:r>
      <w:r w:rsidRPr="00947804">
        <w:rPr>
          <w:b/>
          <w:bCs/>
          <w:color w:val="000000"/>
        </w:rPr>
        <w:t xml:space="preserve"> </w:t>
      </w:r>
    </w:p>
    <w:p w14:paraId="65457657" w14:textId="77777777" w:rsidR="00D56570" w:rsidRDefault="00000000">
      <w:pPr>
        <w:spacing w:after="127"/>
        <w:ind w:left="-5"/>
      </w:pPr>
      <w:r>
        <w:t xml:space="preserve">The churn analysis project provided meaningful insights into customer behavior in the telecom industry. The study highlighted that churn is higher among mid-aged customers, high-income groups, and users of specific telecom partners. </w:t>
      </w:r>
    </w:p>
    <w:p w14:paraId="34D9C498" w14:textId="77777777" w:rsidR="00D56570" w:rsidRDefault="00000000">
      <w:pPr>
        <w:ind w:left="-5"/>
      </w:pPr>
      <w:r>
        <w:t xml:space="preserve">Such findings enable companies to: </w:t>
      </w:r>
    </w:p>
    <w:p w14:paraId="2157BEA8" w14:textId="77777777" w:rsidR="00D56570" w:rsidRDefault="00000000">
      <w:pPr>
        <w:numPr>
          <w:ilvl w:val="0"/>
          <w:numId w:val="4"/>
        </w:numPr>
        <w:ind w:hanging="360"/>
      </w:pPr>
      <w:r>
        <w:t xml:space="preserve">Implement targeted retention strategies for high-risk groups. </w:t>
      </w:r>
    </w:p>
    <w:p w14:paraId="3E39F8CA" w14:textId="77777777" w:rsidR="00D56570" w:rsidRDefault="00000000">
      <w:pPr>
        <w:numPr>
          <w:ilvl w:val="0"/>
          <w:numId w:val="4"/>
        </w:numPr>
        <w:ind w:hanging="360"/>
      </w:pPr>
      <w:r>
        <w:t xml:space="preserve">Offer personalized plans and discounts to valuable customers. </w:t>
      </w:r>
    </w:p>
    <w:p w14:paraId="510A3B58" w14:textId="77777777" w:rsidR="00D56570" w:rsidRDefault="00000000">
      <w:pPr>
        <w:numPr>
          <w:ilvl w:val="0"/>
          <w:numId w:val="4"/>
        </w:numPr>
        <w:spacing w:after="175"/>
        <w:ind w:hanging="360"/>
      </w:pPr>
      <w:r>
        <w:t xml:space="preserve">Continuously monitor churn patterns with Power BI dashboards. </w:t>
      </w:r>
    </w:p>
    <w:p w14:paraId="10937045" w14:textId="77777777" w:rsidR="00D56570" w:rsidRDefault="00000000">
      <w:pPr>
        <w:spacing w:after="7"/>
        <w:ind w:left="-5"/>
      </w:pPr>
      <w:r>
        <w:t xml:space="preserve">By combining Excel for preprocessing and Power BI for visualization, this project demonstrates an effective approach to understanding and mitigating customer churn. </w:t>
      </w:r>
    </w:p>
    <w:p w14:paraId="243B45DC" w14:textId="77777777" w:rsidR="00947804" w:rsidRDefault="00947804" w:rsidP="00947804">
      <w:pPr>
        <w:spacing w:after="290" w:line="259" w:lineRule="auto"/>
        <w:ind w:left="0" w:firstLine="0"/>
        <w:jc w:val="center"/>
        <w:rPr>
          <w:color w:val="304875"/>
          <w:sz w:val="40"/>
        </w:rPr>
      </w:pPr>
    </w:p>
    <w:p w14:paraId="2E119888" w14:textId="4C138753" w:rsidR="00D56570" w:rsidRPr="00947804" w:rsidRDefault="00000000" w:rsidP="00947804">
      <w:pPr>
        <w:spacing w:after="290" w:line="259" w:lineRule="auto"/>
        <w:ind w:left="0" w:firstLine="0"/>
        <w:jc w:val="center"/>
        <w:rPr>
          <w:b/>
          <w:bCs/>
        </w:rPr>
      </w:pPr>
      <w:r w:rsidRPr="00947804">
        <w:rPr>
          <w:b/>
          <w:bCs/>
          <w:color w:val="304875"/>
          <w:sz w:val="40"/>
        </w:rPr>
        <w:t>Thank You</w:t>
      </w:r>
    </w:p>
    <w:p w14:paraId="741567A1" w14:textId="721C4063" w:rsidR="00D56570" w:rsidRDefault="00D56570">
      <w:pPr>
        <w:spacing w:after="0" w:line="259" w:lineRule="auto"/>
        <w:ind w:left="66"/>
        <w:jc w:val="center"/>
      </w:pPr>
    </w:p>
    <w:p w14:paraId="74357D9A" w14:textId="77777777" w:rsidR="00D56570" w:rsidRDefault="00000000">
      <w:pPr>
        <w:spacing w:after="0" w:line="259" w:lineRule="auto"/>
        <w:ind w:left="0" w:firstLine="0"/>
      </w:pPr>
      <w:r>
        <w:rPr>
          <w:sz w:val="24"/>
        </w:rPr>
        <w:lastRenderedPageBreak/>
        <w:t xml:space="preserve"> </w:t>
      </w:r>
    </w:p>
    <w:sectPr w:rsidR="00D56570">
      <w:pgSz w:w="12240" w:h="15840"/>
      <w:pgMar w:top="1498" w:right="1496" w:bottom="7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17580"/>
    <w:multiLevelType w:val="hybridMultilevel"/>
    <w:tmpl w:val="DCB4A458"/>
    <w:lvl w:ilvl="0" w:tplc="7004C86C">
      <w:start w:val="3"/>
      <w:numFmt w:val="decimal"/>
      <w:pStyle w:val="Heading1"/>
      <w:lvlText w:val="%1."/>
      <w:lvlJc w:val="left"/>
      <w:pPr>
        <w:ind w:left="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1" w:tplc="769CD588">
      <w:start w:val="1"/>
      <w:numFmt w:val="lowerLetter"/>
      <w:lvlText w:val="%2"/>
      <w:lvlJc w:val="left"/>
      <w:pPr>
        <w:ind w:left="108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2" w:tplc="50AC7082">
      <w:start w:val="1"/>
      <w:numFmt w:val="lowerRoman"/>
      <w:lvlText w:val="%3"/>
      <w:lvlJc w:val="left"/>
      <w:pPr>
        <w:ind w:left="180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3" w:tplc="9B7C92EE">
      <w:start w:val="1"/>
      <w:numFmt w:val="decimal"/>
      <w:lvlText w:val="%4"/>
      <w:lvlJc w:val="left"/>
      <w:pPr>
        <w:ind w:left="252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4" w:tplc="345628BE">
      <w:start w:val="1"/>
      <w:numFmt w:val="lowerLetter"/>
      <w:lvlText w:val="%5"/>
      <w:lvlJc w:val="left"/>
      <w:pPr>
        <w:ind w:left="324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5" w:tplc="4588D932">
      <w:start w:val="1"/>
      <w:numFmt w:val="lowerRoman"/>
      <w:lvlText w:val="%6"/>
      <w:lvlJc w:val="left"/>
      <w:pPr>
        <w:ind w:left="396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6" w:tplc="08668204">
      <w:start w:val="1"/>
      <w:numFmt w:val="decimal"/>
      <w:lvlText w:val="%7"/>
      <w:lvlJc w:val="left"/>
      <w:pPr>
        <w:ind w:left="468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7" w:tplc="30DEFE6E">
      <w:start w:val="1"/>
      <w:numFmt w:val="lowerLetter"/>
      <w:lvlText w:val="%8"/>
      <w:lvlJc w:val="left"/>
      <w:pPr>
        <w:ind w:left="540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8" w:tplc="4B6C00D0">
      <w:start w:val="1"/>
      <w:numFmt w:val="lowerRoman"/>
      <w:lvlText w:val="%9"/>
      <w:lvlJc w:val="left"/>
      <w:pPr>
        <w:ind w:left="612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abstractNum>
  <w:abstractNum w:abstractNumId="1" w15:restartNumberingAfterBreak="0">
    <w:nsid w:val="11867FB6"/>
    <w:multiLevelType w:val="hybridMultilevel"/>
    <w:tmpl w:val="5F6E7776"/>
    <w:lvl w:ilvl="0" w:tplc="611851E8">
      <w:start w:val="1"/>
      <w:numFmt w:val="decimal"/>
      <w:lvlText w:val="%1."/>
      <w:lvlJc w:val="left"/>
      <w:pPr>
        <w:ind w:left="36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1" w:tplc="A202B448">
      <w:start w:val="1"/>
      <w:numFmt w:val="lowerLetter"/>
      <w:lvlText w:val="%2"/>
      <w:lvlJc w:val="left"/>
      <w:pPr>
        <w:ind w:left="118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2" w:tplc="BC9AFC5E">
      <w:start w:val="1"/>
      <w:numFmt w:val="lowerRoman"/>
      <w:lvlText w:val="%3"/>
      <w:lvlJc w:val="left"/>
      <w:pPr>
        <w:ind w:left="190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3" w:tplc="688C5952">
      <w:start w:val="1"/>
      <w:numFmt w:val="decimal"/>
      <w:lvlText w:val="%4"/>
      <w:lvlJc w:val="left"/>
      <w:pPr>
        <w:ind w:left="262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4" w:tplc="2FECFE30">
      <w:start w:val="1"/>
      <w:numFmt w:val="lowerLetter"/>
      <w:lvlText w:val="%5"/>
      <w:lvlJc w:val="left"/>
      <w:pPr>
        <w:ind w:left="334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5" w:tplc="4514746A">
      <w:start w:val="1"/>
      <w:numFmt w:val="lowerRoman"/>
      <w:lvlText w:val="%6"/>
      <w:lvlJc w:val="left"/>
      <w:pPr>
        <w:ind w:left="406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6" w:tplc="7B944706">
      <w:start w:val="1"/>
      <w:numFmt w:val="decimal"/>
      <w:lvlText w:val="%7"/>
      <w:lvlJc w:val="left"/>
      <w:pPr>
        <w:ind w:left="478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7" w:tplc="373E941E">
      <w:start w:val="1"/>
      <w:numFmt w:val="lowerLetter"/>
      <w:lvlText w:val="%8"/>
      <w:lvlJc w:val="left"/>
      <w:pPr>
        <w:ind w:left="550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8" w:tplc="E2765E7C">
      <w:start w:val="1"/>
      <w:numFmt w:val="lowerRoman"/>
      <w:lvlText w:val="%9"/>
      <w:lvlJc w:val="left"/>
      <w:pPr>
        <w:ind w:left="6228"/>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abstractNum>
  <w:abstractNum w:abstractNumId="2" w15:restartNumberingAfterBreak="0">
    <w:nsid w:val="1467676F"/>
    <w:multiLevelType w:val="hybridMultilevel"/>
    <w:tmpl w:val="9C4EEEA6"/>
    <w:lvl w:ilvl="0" w:tplc="04090003">
      <w:start w:val="1"/>
      <w:numFmt w:val="bullet"/>
      <w:lvlText w:val="o"/>
      <w:lvlJc w:val="left"/>
      <w:pPr>
        <w:ind w:left="1008" w:hanging="360"/>
      </w:pPr>
      <w:rPr>
        <w:rFonts w:ascii="Courier New" w:hAnsi="Courier New" w:cs="Courier New"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3" w15:restartNumberingAfterBreak="0">
    <w:nsid w:val="46346F41"/>
    <w:multiLevelType w:val="hybridMultilevel"/>
    <w:tmpl w:val="C060A9F0"/>
    <w:lvl w:ilvl="0" w:tplc="04090003">
      <w:start w:val="1"/>
      <w:numFmt w:val="bullet"/>
      <w:lvlText w:val="o"/>
      <w:lvlJc w:val="left"/>
      <w:pPr>
        <w:ind w:left="1073" w:hanging="360"/>
      </w:pPr>
      <w:rPr>
        <w:rFonts w:ascii="Courier New" w:hAnsi="Courier New" w:cs="Courier New"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4" w15:restartNumberingAfterBreak="0">
    <w:nsid w:val="46404C9B"/>
    <w:multiLevelType w:val="hybridMultilevel"/>
    <w:tmpl w:val="1B062D0E"/>
    <w:lvl w:ilvl="0" w:tplc="BC20C18A">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C0EEF50">
      <w:start w:val="1"/>
      <w:numFmt w:val="bullet"/>
      <w:lvlText w:val="o"/>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8B0635A">
      <w:start w:val="1"/>
      <w:numFmt w:val="bullet"/>
      <w:lvlText w:val="▪"/>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3C21418">
      <w:start w:val="1"/>
      <w:numFmt w:val="bullet"/>
      <w:lvlText w:val="•"/>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C8E006">
      <w:start w:val="1"/>
      <w:numFmt w:val="bullet"/>
      <w:lvlText w:val="o"/>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DC8A1D2A">
      <w:start w:val="1"/>
      <w:numFmt w:val="bullet"/>
      <w:lvlText w:val="▪"/>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89A2320">
      <w:start w:val="1"/>
      <w:numFmt w:val="bullet"/>
      <w:lvlText w:val="•"/>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27487EE">
      <w:start w:val="1"/>
      <w:numFmt w:val="bullet"/>
      <w:lvlText w:val="o"/>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9D24DA0">
      <w:start w:val="1"/>
      <w:numFmt w:val="bullet"/>
      <w:lvlText w:val="▪"/>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69B5A5B"/>
    <w:multiLevelType w:val="hybridMultilevel"/>
    <w:tmpl w:val="5FDE3BA6"/>
    <w:lvl w:ilvl="0" w:tplc="C3620258">
      <w:start w:val="1"/>
      <w:numFmt w:val="decimal"/>
      <w:lvlText w:val="%1."/>
      <w:lvlJc w:val="left"/>
      <w:pPr>
        <w:ind w:left="713"/>
      </w:pPr>
      <w:rPr>
        <w:rFonts w:ascii="Times New Roman" w:eastAsia="Times New Roman" w:hAnsi="Times New Roman" w:cs="Times New Roman"/>
        <w:b w:val="0"/>
        <w:i w:val="0"/>
        <w:strike w:val="0"/>
        <w:dstrike w:val="0"/>
        <w:color w:val="839DCC"/>
        <w:sz w:val="20"/>
        <w:szCs w:val="20"/>
        <w:u w:val="none" w:color="000000"/>
        <w:bdr w:val="none" w:sz="0" w:space="0" w:color="auto"/>
        <w:shd w:val="clear" w:color="auto" w:fill="auto"/>
        <w:vertAlign w:val="baseline"/>
      </w:rPr>
    </w:lvl>
    <w:lvl w:ilvl="1" w:tplc="27C62D0C">
      <w:start w:val="1"/>
      <w:numFmt w:val="bullet"/>
      <w:lvlText w:val="o"/>
      <w:lvlJc w:val="left"/>
      <w:pPr>
        <w:ind w:left="9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69C043F2">
      <w:start w:val="1"/>
      <w:numFmt w:val="bullet"/>
      <w:lvlText w:val="▪"/>
      <w:lvlJc w:val="left"/>
      <w:pPr>
        <w:ind w:left="16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2A6CCD2A">
      <w:start w:val="1"/>
      <w:numFmt w:val="bullet"/>
      <w:lvlText w:val="•"/>
      <w:lvlJc w:val="left"/>
      <w:pPr>
        <w:ind w:left="23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0161584">
      <w:start w:val="1"/>
      <w:numFmt w:val="bullet"/>
      <w:lvlText w:val="o"/>
      <w:lvlJc w:val="left"/>
      <w:pPr>
        <w:ind w:left="309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5462FBA">
      <w:start w:val="1"/>
      <w:numFmt w:val="bullet"/>
      <w:lvlText w:val="▪"/>
      <w:lvlJc w:val="left"/>
      <w:pPr>
        <w:ind w:left="381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FA81120">
      <w:start w:val="1"/>
      <w:numFmt w:val="bullet"/>
      <w:lvlText w:val="•"/>
      <w:lvlJc w:val="left"/>
      <w:pPr>
        <w:ind w:left="453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BF69762">
      <w:start w:val="1"/>
      <w:numFmt w:val="bullet"/>
      <w:lvlText w:val="o"/>
      <w:lvlJc w:val="left"/>
      <w:pPr>
        <w:ind w:left="525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1BCC338">
      <w:start w:val="1"/>
      <w:numFmt w:val="bullet"/>
      <w:lvlText w:val="▪"/>
      <w:lvlJc w:val="left"/>
      <w:pPr>
        <w:ind w:left="597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98B1E7D"/>
    <w:multiLevelType w:val="hybridMultilevel"/>
    <w:tmpl w:val="CBDEBD2A"/>
    <w:lvl w:ilvl="0" w:tplc="8742824A">
      <w:numFmt w:val="bullet"/>
      <w:lvlText w:val=""/>
      <w:lvlJc w:val="left"/>
      <w:pPr>
        <w:ind w:left="713" w:hanging="360"/>
      </w:pPr>
      <w:rPr>
        <w:rFonts w:ascii="Symbol" w:eastAsia="Times New Roman" w:hAnsi="Symbol" w:cs="Times New Roman" w:hint="default"/>
      </w:rPr>
    </w:lvl>
    <w:lvl w:ilvl="1" w:tplc="04090003" w:tentative="1">
      <w:start w:val="1"/>
      <w:numFmt w:val="bullet"/>
      <w:lvlText w:val="o"/>
      <w:lvlJc w:val="left"/>
      <w:pPr>
        <w:ind w:left="1433" w:hanging="360"/>
      </w:pPr>
      <w:rPr>
        <w:rFonts w:ascii="Courier New" w:hAnsi="Courier New" w:cs="Courier New" w:hint="default"/>
      </w:rPr>
    </w:lvl>
    <w:lvl w:ilvl="2" w:tplc="04090005" w:tentative="1">
      <w:start w:val="1"/>
      <w:numFmt w:val="bullet"/>
      <w:lvlText w:val=""/>
      <w:lvlJc w:val="left"/>
      <w:pPr>
        <w:ind w:left="2153" w:hanging="360"/>
      </w:pPr>
      <w:rPr>
        <w:rFonts w:ascii="Wingdings" w:hAnsi="Wingdings" w:hint="default"/>
      </w:rPr>
    </w:lvl>
    <w:lvl w:ilvl="3" w:tplc="04090001" w:tentative="1">
      <w:start w:val="1"/>
      <w:numFmt w:val="bullet"/>
      <w:lvlText w:val=""/>
      <w:lvlJc w:val="left"/>
      <w:pPr>
        <w:ind w:left="2873" w:hanging="360"/>
      </w:pPr>
      <w:rPr>
        <w:rFonts w:ascii="Symbol" w:hAnsi="Symbol" w:hint="default"/>
      </w:rPr>
    </w:lvl>
    <w:lvl w:ilvl="4" w:tplc="04090003" w:tentative="1">
      <w:start w:val="1"/>
      <w:numFmt w:val="bullet"/>
      <w:lvlText w:val="o"/>
      <w:lvlJc w:val="left"/>
      <w:pPr>
        <w:ind w:left="3593" w:hanging="360"/>
      </w:pPr>
      <w:rPr>
        <w:rFonts w:ascii="Courier New" w:hAnsi="Courier New" w:cs="Courier New" w:hint="default"/>
      </w:rPr>
    </w:lvl>
    <w:lvl w:ilvl="5" w:tplc="04090005" w:tentative="1">
      <w:start w:val="1"/>
      <w:numFmt w:val="bullet"/>
      <w:lvlText w:val=""/>
      <w:lvlJc w:val="left"/>
      <w:pPr>
        <w:ind w:left="4313" w:hanging="360"/>
      </w:pPr>
      <w:rPr>
        <w:rFonts w:ascii="Wingdings" w:hAnsi="Wingdings" w:hint="default"/>
      </w:rPr>
    </w:lvl>
    <w:lvl w:ilvl="6" w:tplc="04090001" w:tentative="1">
      <w:start w:val="1"/>
      <w:numFmt w:val="bullet"/>
      <w:lvlText w:val=""/>
      <w:lvlJc w:val="left"/>
      <w:pPr>
        <w:ind w:left="5033" w:hanging="360"/>
      </w:pPr>
      <w:rPr>
        <w:rFonts w:ascii="Symbol" w:hAnsi="Symbol" w:hint="default"/>
      </w:rPr>
    </w:lvl>
    <w:lvl w:ilvl="7" w:tplc="04090003" w:tentative="1">
      <w:start w:val="1"/>
      <w:numFmt w:val="bullet"/>
      <w:lvlText w:val="o"/>
      <w:lvlJc w:val="left"/>
      <w:pPr>
        <w:ind w:left="5753" w:hanging="360"/>
      </w:pPr>
      <w:rPr>
        <w:rFonts w:ascii="Courier New" w:hAnsi="Courier New" w:cs="Courier New" w:hint="default"/>
      </w:rPr>
    </w:lvl>
    <w:lvl w:ilvl="8" w:tplc="04090005" w:tentative="1">
      <w:start w:val="1"/>
      <w:numFmt w:val="bullet"/>
      <w:lvlText w:val=""/>
      <w:lvlJc w:val="left"/>
      <w:pPr>
        <w:ind w:left="6473" w:hanging="360"/>
      </w:pPr>
      <w:rPr>
        <w:rFonts w:ascii="Wingdings" w:hAnsi="Wingdings" w:hint="default"/>
      </w:rPr>
    </w:lvl>
  </w:abstractNum>
  <w:abstractNum w:abstractNumId="7" w15:restartNumberingAfterBreak="0">
    <w:nsid w:val="57F10841"/>
    <w:multiLevelType w:val="hybridMultilevel"/>
    <w:tmpl w:val="AED49C64"/>
    <w:lvl w:ilvl="0" w:tplc="34F60C88">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7C619EE">
      <w:start w:val="1"/>
      <w:numFmt w:val="bullet"/>
      <w:lvlText w:val="o"/>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FED48F6E">
      <w:start w:val="1"/>
      <w:numFmt w:val="bullet"/>
      <w:lvlText w:val="▪"/>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0CAAF14">
      <w:start w:val="1"/>
      <w:numFmt w:val="bullet"/>
      <w:lvlText w:val="•"/>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3E98D81A">
      <w:start w:val="1"/>
      <w:numFmt w:val="bullet"/>
      <w:lvlText w:val="o"/>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22685BC">
      <w:start w:val="1"/>
      <w:numFmt w:val="bullet"/>
      <w:lvlText w:val="▪"/>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F91A0B4C">
      <w:start w:val="1"/>
      <w:numFmt w:val="bullet"/>
      <w:lvlText w:val="•"/>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70E9174">
      <w:start w:val="1"/>
      <w:numFmt w:val="bullet"/>
      <w:lvlText w:val="o"/>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AE3CDDA4">
      <w:start w:val="1"/>
      <w:numFmt w:val="bullet"/>
      <w:lvlText w:val="▪"/>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5AC20AD6"/>
    <w:multiLevelType w:val="hybridMultilevel"/>
    <w:tmpl w:val="FA12368E"/>
    <w:lvl w:ilvl="0" w:tplc="927E9008">
      <w:numFmt w:val="bullet"/>
      <w:lvlText w:val=""/>
      <w:lvlJc w:val="left"/>
      <w:pPr>
        <w:ind w:left="648" w:hanging="360"/>
      </w:pPr>
      <w:rPr>
        <w:rFonts w:ascii="Symbol" w:eastAsia="Times New Roman" w:hAnsi="Symbol"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9" w15:restartNumberingAfterBreak="0">
    <w:nsid w:val="76BB3643"/>
    <w:multiLevelType w:val="hybridMultilevel"/>
    <w:tmpl w:val="B6461D18"/>
    <w:lvl w:ilvl="0" w:tplc="AB3EEEFA">
      <w:start w:val="1"/>
      <w:numFmt w:val="decimal"/>
      <w:lvlText w:val="%1."/>
      <w:lvlJc w:val="left"/>
      <w:pPr>
        <w:ind w:left="24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1" w:tplc="B4A828F2">
      <w:start w:val="1"/>
      <w:numFmt w:val="lowerLetter"/>
      <w:lvlText w:val="%2"/>
      <w:lvlJc w:val="left"/>
      <w:pPr>
        <w:ind w:left="108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2" w:tplc="376C82DC">
      <w:start w:val="1"/>
      <w:numFmt w:val="lowerRoman"/>
      <w:lvlText w:val="%3"/>
      <w:lvlJc w:val="left"/>
      <w:pPr>
        <w:ind w:left="180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3" w:tplc="B9207916">
      <w:start w:val="1"/>
      <w:numFmt w:val="decimal"/>
      <w:lvlText w:val="%4"/>
      <w:lvlJc w:val="left"/>
      <w:pPr>
        <w:ind w:left="252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4" w:tplc="E5603F2E">
      <w:start w:val="1"/>
      <w:numFmt w:val="lowerLetter"/>
      <w:lvlText w:val="%5"/>
      <w:lvlJc w:val="left"/>
      <w:pPr>
        <w:ind w:left="324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5" w:tplc="2072FB08">
      <w:start w:val="1"/>
      <w:numFmt w:val="lowerRoman"/>
      <w:lvlText w:val="%6"/>
      <w:lvlJc w:val="left"/>
      <w:pPr>
        <w:ind w:left="396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6" w:tplc="F2428130">
      <w:start w:val="1"/>
      <w:numFmt w:val="decimal"/>
      <w:lvlText w:val="%7"/>
      <w:lvlJc w:val="left"/>
      <w:pPr>
        <w:ind w:left="468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7" w:tplc="98FC87E8">
      <w:start w:val="1"/>
      <w:numFmt w:val="lowerLetter"/>
      <w:lvlText w:val="%8"/>
      <w:lvlJc w:val="left"/>
      <w:pPr>
        <w:ind w:left="540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lvl w:ilvl="8" w:tplc="6FF0D6B4">
      <w:start w:val="1"/>
      <w:numFmt w:val="lowerRoman"/>
      <w:lvlText w:val="%9"/>
      <w:lvlJc w:val="left"/>
      <w:pPr>
        <w:ind w:left="6120"/>
      </w:pPr>
      <w:rPr>
        <w:rFonts w:ascii="Times New Roman" w:eastAsia="Times New Roman" w:hAnsi="Times New Roman" w:cs="Times New Roman"/>
        <w:b w:val="0"/>
        <w:i w:val="0"/>
        <w:strike w:val="0"/>
        <w:dstrike w:val="0"/>
        <w:color w:val="304875"/>
        <w:sz w:val="24"/>
        <w:szCs w:val="24"/>
        <w:u w:val="none" w:color="000000"/>
        <w:bdr w:val="none" w:sz="0" w:space="0" w:color="auto"/>
        <w:shd w:val="clear" w:color="auto" w:fill="auto"/>
        <w:vertAlign w:val="baseline"/>
      </w:rPr>
    </w:lvl>
  </w:abstractNum>
  <w:num w:numId="1" w16cid:durableId="1778016485">
    <w:abstractNumId w:val="9"/>
  </w:num>
  <w:num w:numId="2" w16cid:durableId="196356851">
    <w:abstractNumId w:val="4"/>
  </w:num>
  <w:num w:numId="3" w16cid:durableId="276916014">
    <w:abstractNumId w:val="5"/>
  </w:num>
  <w:num w:numId="4" w16cid:durableId="2019113648">
    <w:abstractNumId w:val="7"/>
  </w:num>
  <w:num w:numId="5" w16cid:durableId="1643847835">
    <w:abstractNumId w:val="1"/>
  </w:num>
  <w:num w:numId="6" w16cid:durableId="994989335">
    <w:abstractNumId w:val="0"/>
  </w:num>
  <w:num w:numId="7" w16cid:durableId="329479747">
    <w:abstractNumId w:val="6"/>
  </w:num>
  <w:num w:numId="8" w16cid:durableId="1973945055">
    <w:abstractNumId w:val="3"/>
  </w:num>
  <w:num w:numId="9" w16cid:durableId="1851017591">
    <w:abstractNumId w:val="2"/>
  </w:num>
  <w:num w:numId="10" w16cid:durableId="4288183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6570"/>
    <w:rsid w:val="00596248"/>
    <w:rsid w:val="00947804"/>
    <w:rsid w:val="00D5657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601D"/>
  <w15:docId w15:val="{0BF4C143-B310-4774-B5B0-A6480E85A7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1"/>
        <w:lang w:val="en-US" w:eastAsia="en-US" w:bidi="hi-IN"/>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12" w:line="269" w:lineRule="auto"/>
      <w:ind w:left="10" w:hanging="10"/>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numPr>
        <w:numId w:val="6"/>
      </w:numPr>
      <w:spacing w:after="106" w:line="259" w:lineRule="auto"/>
      <w:ind w:left="10" w:hanging="10"/>
      <w:outlineLvl w:val="0"/>
    </w:pPr>
    <w:rPr>
      <w:rFonts w:ascii="Times New Roman" w:eastAsia="Times New Roman" w:hAnsi="Times New Roman" w:cs="Times New Roman"/>
      <w:color w:val="30487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304875"/>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947804"/>
    <w:pPr>
      <w:ind w:left="720"/>
      <w:contextualSpacing/>
    </w:pPr>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499</Words>
  <Characters>2849</Characters>
  <Application>Microsoft Office Word</Application>
  <DocSecurity>0</DocSecurity>
  <Lines>23</Lines>
  <Paragraphs>6</Paragraphs>
  <ScaleCrop>false</ScaleCrop>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Churn Report</dc:title>
  <dc:subject/>
  <dc:creator>HARSHIT JAIN</dc:creator>
  <cp:keywords/>
  <cp:lastModifiedBy>HARSHIT JAIN</cp:lastModifiedBy>
  <cp:revision>2</cp:revision>
  <dcterms:created xsi:type="dcterms:W3CDTF">2025-09-08T03:18:00Z</dcterms:created>
  <dcterms:modified xsi:type="dcterms:W3CDTF">2025-09-08T03:18:00Z</dcterms:modified>
</cp:coreProperties>
</file>