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30"/>
          <w:szCs w:val="30"/>
        </w:rPr>
        <w:t xml:space="preserve">INTERNSHIP PROJECT REPORT</w:t>
      </w:r>
    </w:p>
    <w:p>
      <w:pPr>
        <w:spacing w:after="400"/>
        <w:jc w:val="center"/>
      </w:pPr>
      <w:r>
        <w:rPr>
          <w:b/>
          <w:bCs/>
          <w:color w:val="2E5A88"/>
          <w:sz w:val="26"/>
          <w:szCs w:val="26"/>
        </w:rPr>
        <w:t xml:space="preserve">Week 4</w:t>
      </w:r>
    </w:p>
    <w:p>
      <w:pPr>
        <w:spacing w:after="160"/>
        <w:jc w:val="center"/>
      </w:pPr>
      <w:r>
        <w:rPr>
          <w:i/>
          <w:iCs/>
          <w:sz w:val="24"/>
          <w:szCs w:val="24"/>
        </w:rPr>
        <w:t xml:space="preserve">Predictive Modeling and Optimization in Logistics Systems</w:t>
      </w:r>
    </w:p>
    <w:p>
      <w:pPr>
        <w:spacing w:after="600"/>
        <w:jc w:val="center"/>
      </w:pPr>
      <w:r>
        <w:rPr>
          <w:color w:val="595959"/>
          <w:sz w:val="20"/>
          <w:szCs w:val="20"/>
        </w:rPr>
        <w:t xml:space="preserve">Forecasting Delivery Duration from Shipment, Carrier, and Product Attributes</w:t>
      </w:r>
    </w:p>
    <w:p>
      <w:pPr>
        <w:spacing w:after="120"/>
        <w:jc w:val="center"/>
      </w:pPr>
      <w:r>
        <w:rPr>
          <w:sz w:val="20"/>
          <w:szCs w:val="20"/>
        </w:rPr>
        <w:t xml:space="preserve">Dataset: logistics_clean.csv  |  112,635 Shipment Records  |  24 Features</w:t>
      </w:r>
    </w:p>
    <w:p>
      <w:pPr>
        <w:spacing w:after="120"/>
        <w:jc w:val="center"/>
      </w:pPr>
      <w:r>
        <w:rPr>
          <w:sz w:val="20"/>
          <w:szCs w:val="20"/>
        </w:rPr>
        <w:t xml:space="preserve">Logistics Forecasting &amp; Delivery Optimization Analytics</w:t>
      </w:r>
    </w:p>
    <w:p>
      <w:pPr>
        <w:spacing w:after="800"/>
        <w:jc w:val="center"/>
      </w:pPr>
      <w:r>
        <w:rPr>
          <w:sz w:val="20"/>
          <w:szCs w:val="20"/>
        </w:rPr>
        <w:t xml:space="preserve">September 2026</w:t>
      </w:r>
    </w:p>
    <w:p>
      <w:r>
        <w:br w:type="page"/>
      </w:r>
    </w:p>
    <w:p>
      <w:pPr>
        <w:pStyle w:val="Heading1"/>
        <w:pageBreakBefore/>
        <w:spacing w:after="160" w:before="360"/>
      </w:pPr>
      <w:r>
        <w:t xml:space="preserve">Table of Contents</w:t>
      </w:r>
    </w:p>
    <w:p>
      <w:pPr>
        <w:tabs>
          <w:tab w:val="right" w:pos="9350" w:leader="dot"/>
        </w:tabs>
        <w:spacing w:after="120"/>
      </w:pPr>
      <w:r>
        <w:rPr>
          <w:sz w:val="22"/>
          <w:szCs w:val="22"/>
        </w:rPr>
        <w:t xml:space="preserve">Executive Summary</w:t>
      </w:r>
      <w:r>
        <w:rPr>
          <w:sz w:val="22"/>
          <w:szCs w:val="22"/>
        </w:rPr>
        <w:t xml:space="preserve">	3</w:t>
      </w:r>
    </w:p>
    <w:p>
      <w:pPr>
        <w:tabs>
          <w:tab w:val="right" w:pos="9350" w:leader="dot"/>
        </w:tabs>
        <w:spacing w:after="120"/>
      </w:pPr>
      <w:r>
        <w:rPr>
          <w:sz w:val="22"/>
          <w:szCs w:val="22"/>
        </w:rPr>
        <w:t xml:space="preserve">1. Business Problem &amp; Objective</w:t>
      </w:r>
      <w:r>
        <w:rPr>
          <w:sz w:val="22"/>
          <w:szCs w:val="22"/>
        </w:rPr>
        <w:t xml:space="preserve">	4</w:t>
      </w:r>
    </w:p>
    <w:p>
      <w:pPr>
        <w:tabs>
          <w:tab w:val="right" w:pos="9350" w:leader="dot"/>
        </w:tabs>
        <w:spacing w:after="120"/>
      </w:pPr>
      <w:r>
        <w:rPr>
          <w:sz w:val="22"/>
          <w:szCs w:val="22"/>
        </w:rPr>
        <w:t xml:space="preserve">2. Dataset Description</w:t>
      </w:r>
      <w:r>
        <w:rPr>
          <w:sz w:val="22"/>
          <w:szCs w:val="22"/>
        </w:rPr>
        <w:t xml:space="preserve">	5</w:t>
      </w:r>
    </w:p>
    <w:p>
      <w:pPr>
        <w:tabs>
          <w:tab w:val="right" w:pos="9350" w:leader="dot"/>
        </w:tabs>
        <w:spacing w:after="120"/>
      </w:pPr>
      <w:r>
        <w:rPr>
          <w:sz w:val="22"/>
          <w:szCs w:val="22"/>
        </w:rPr>
        <w:t xml:space="preserve">3. Data Quality Assessment</w:t>
      </w:r>
      <w:r>
        <w:rPr>
          <w:sz w:val="22"/>
          <w:szCs w:val="22"/>
        </w:rPr>
        <w:t xml:space="preserve">	7</w:t>
      </w:r>
    </w:p>
    <w:p>
      <w:pPr>
        <w:tabs>
          <w:tab w:val="right" w:pos="9350" w:leader="dot"/>
        </w:tabs>
        <w:spacing w:after="120"/>
      </w:pPr>
      <w:r>
        <w:rPr>
          <w:sz w:val="22"/>
          <w:szCs w:val="22"/>
        </w:rPr>
        <w:t xml:space="preserve">4. Exploratory Data Analysis</w:t>
      </w:r>
      <w:r>
        <w:rPr>
          <w:sz w:val="22"/>
          <w:szCs w:val="22"/>
        </w:rPr>
        <w:t xml:space="preserve">	8</w:t>
      </w:r>
    </w:p>
    <w:p>
      <w:pPr>
        <w:tabs>
          <w:tab w:val="right" w:pos="9350" w:leader="dot"/>
        </w:tabs>
        <w:spacing w:after="120"/>
      </w:pPr>
      <w:r>
        <w:rPr>
          <w:sz w:val="22"/>
          <w:szCs w:val="22"/>
        </w:rPr>
        <w:t xml:space="preserve">5. Data Preparation</w:t>
      </w:r>
      <w:r>
        <w:rPr>
          <w:sz w:val="22"/>
          <w:szCs w:val="22"/>
        </w:rPr>
        <w:t xml:space="preserve">	9</w:t>
      </w:r>
    </w:p>
    <w:p>
      <w:pPr>
        <w:tabs>
          <w:tab w:val="right" w:pos="9350" w:leader="dot"/>
        </w:tabs>
        <w:spacing w:after="120"/>
      </w:pPr>
      <w:r>
        <w:rPr>
          <w:sz w:val="22"/>
          <w:szCs w:val="22"/>
        </w:rPr>
        <w:t xml:space="preserve">6. Model Selection &amp; Rationale</w:t>
      </w:r>
      <w:r>
        <w:rPr>
          <w:sz w:val="22"/>
          <w:szCs w:val="22"/>
        </w:rPr>
        <w:t xml:space="preserve">	10</w:t>
      </w:r>
    </w:p>
    <w:p>
      <w:pPr>
        <w:tabs>
          <w:tab w:val="right" w:pos="9350" w:leader="dot"/>
        </w:tabs>
        <w:spacing w:after="120"/>
      </w:pPr>
      <w:r>
        <w:rPr>
          <w:sz w:val="22"/>
          <w:szCs w:val="22"/>
        </w:rPr>
        <w:t xml:space="preserve">7. Model Training</w:t>
      </w:r>
      <w:r>
        <w:rPr>
          <w:sz w:val="22"/>
          <w:szCs w:val="22"/>
        </w:rPr>
        <w:t xml:space="preserve">	11</w:t>
      </w:r>
    </w:p>
    <w:p>
      <w:pPr>
        <w:tabs>
          <w:tab w:val="right" w:pos="9350" w:leader="dot"/>
        </w:tabs>
        <w:spacing w:after="120"/>
      </w:pPr>
      <w:r>
        <w:rPr>
          <w:sz w:val="22"/>
          <w:szCs w:val="22"/>
        </w:rPr>
        <w:t xml:space="preserve">8. Model Evaluation &amp; Cross-Validation</w:t>
      </w:r>
      <w:r>
        <w:rPr>
          <w:sz w:val="22"/>
          <w:szCs w:val="22"/>
        </w:rPr>
        <w:t xml:space="preserve">	12</w:t>
      </w:r>
    </w:p>
    <w:p>
      <w:pPr>
        <w:tabs>
          <w:tab w:val="right" w:pos="9350" w:leader="dot"/>
        </w:tabs>
        <w:spacing w:after="120"/>
      </w:pPr>
      <w:r>
        <w:rPr>
          <w:sz w:val="22"/>
          <w:szCs w:val="22"/>
        </w:rPr>
        <w:t xml:space="preserve">9. Hyperparameter Tuning</w:t>
      </w:r>
      <w:r>
        <w:rPr>
          <w:sz w:val="22"/>
          <w:szCs w:val="22"/>
        </w:rPr>
        <w:t xml:space="preserve">	13</w:t>
      </w:r>
    </w:p>
    <w:p>
      <w:pPr>
        <w:tabs>
          <w:tab w:val="right" w:pos="9350" w:leader="dot"/>
        </w:tabs>
        <w:spacing w:after="120"/>
      </w:pPr>
      <w:r>
        <w:rPr>
          <w:sz w:val="22"/>
          <w:szCs w:val="22"/>
        </w:rPr>
        <w:t xml:space="preserve">10. Feature Importance &amp; Operational Insights</w:t>
      </w:r>
      <w:r>
        <w:rPr>
          <w:sz w:val="22"/>
          <w:szCs w:val="22"/>
        </w:rPr>
        <w:t xml:space="preserve">	14</w:t>
      </w:r>
    </w:p>
    <w:p>
      <w:pPr>
        <w:tabs>
          <w:tab w:val="right" w:pos="9350" w:leader="dot"/>
        </w:tabs>
        <w:spacing w:after="120"/>
      </w:pPr>
      <w:r>
        <w:rPr>
          <w:sz w:val="22"/>
          <w:szCs w:val="22"/>
        </w:rPr>
        <w:t xml:space="preserve">11. Optimization Strategies</w:t>
      </w:r>
      <w:r>
        <w:rPr>
          <w:sz w:val="22"/>
          <w:szCs w:val="22"/>
        </w:rPr>
        <w:t xml:space="preserve">	15</w:t>
      </w:r>
    </w:p>
    <w:p>
      <w:pPr>
        <w:tabs>
          <w:tab w:val="right" w:pos="9350" w:leader="dot"/>
        </w:tabs>
        <w:spacing w:after="120"/>
      </w:pPr>
      <w:r>
        <w:rPr>
          <w:sz w:val="22"/>
          <w:szCs w:val="22"/>
        </w:rPr>
        <w:t xml:space="preserve">12. Risk Management &amp; Monitoring</w:t>
      </w:r>
      <w:r>
        <w:rPr>
          <w:sz w:val="22"/>
          <w:szCs w:val="22"/>
        </w:rPr>
        <w:t xml:space="preserve">	17</w:t>
      </w:r>
    </w:p>
    <w:p>
      <w:pPr>
        <w:tabs>
          <w:tab w:val="right" w:pos="9350" w:leader="dot"/>
        </w:tabs>
        <w:spacing w:after="120"/>
      </w:pPr>
      <w:r>
        <w:rPr>
          <w:sz w:val="22"/>
          <w:szCs w:val="22"/>
        </w:rPr>
        <w:t xml:space="preserve">13. Recommendations Summary</w:t>
      </w:r>
      <w:r>
        <w:rPr>
          <w:sz w:val="22"/>
          <w:szCs w:val="22"/>
        </w:rPr>
        <w:t xml:space="preserve">	18</w:t>
      </w:r>
    </w:p>
    <w:p>
      <w:pPr>
        <w:tabs>
          <w:tab w:val="right" w:pos="9350" w:leader="dot"/>
        </w:tabs>
        <w:spacing w:after="120"/>
      </w:pPr>
      <w:r>
        <w:rPr>
          <w:sz w:val="22"/>
          <w:szCs w:val="22"/>
        </w:rPr>
        <w:t xml:space="preserve">14. Future Scope</w:t>
      </w:r>
      <w:r>
        <w:rPr>
          <w:sz w:val="22"/>
          <w:szCs w:val="22"/>
        </w:rPr>
        <w:t xml:space="preserve">	19</w:t>
      </w:r>
    </w:p>
    <w:p>
      <w:pPr>
        <w:tabs>
          <w:tab w:val="right" w:pos="9350" w:leader="dot"/>
        </w:tabs>
        <w:spacing w:after="120"/>
      </w:pPr>
      <w:r>
        <w:rPr>
          <w:sz w:val="22"/>
          <w:szCs w:val="22"/>
        </w:rPr>
        <w:t xml:space="preserve">15. Conclusion</w:t>
      </w:r>
      <w:r>
        <w:rPr>
          <w:sz w:val="22"/>
          <w:szCs w:val="22"/>
        </w:rPr>
        <w:t xml:space="preserve">	20</w:t>
      </w:r>
    </w:p>
    <w:p>
      <w:r>
        <w:br w:type="page"/>
      </w:r>
    </w:p>
    <w:p>
      <w:pPr>
        <w:pStyle w:val="Heading1"/>
        <w:pageBreakBefore/>
        <w:spacing w:after="160" w:before="360"/>
      </w:pPr>
      <w:r>
        <w:t xml:space="preserve">Executive Summary</w:t>
      </w:r>
    </w:p>
    <w:p>
      <w:pPr>
        <w:spacing w:after="160"/>
      </w:pPr>
      <w:r>
        <w:t xml:space="preserve">This report documents the end-to-end development of a predictive model that forecasts delivery duration for a real e-commerce logistics dataset of 112,635 order-item records across 24 features (logistics_clean.csv), covering order, product, seller, customer, and carrier attributes. Unlike a hypothetical exercise, every number in this report — missing-value rates, correlations, model scores, feature importances — was computed directly from this file.</w:t>
      </w:r>
    </w:p>
    <w:p>
      <w:pPr>
        <w:spacing w:after="160"/>
      </w:pPr>
      <w:r>
        <w:t xml:space="preserve">Three models were trained and compared under identical preprocessing and validation conditions: Linear Regression (baseline), Random Forest, and XGBoost, predicting delivery_days_capped (delivery duration, capped near the 95th percentile to limit the influence of extreme outliers — see Section 3). XGBoost achieved the best test performance (RMSE 2.743 days, R² = 0.850), followed closely by Random Forest (RMSE 2.775 days, R² = 0.846), with Linear Regression noticeably behind (RMSE 3.573 days, R² = 0.745). This is the opposite ranking from what a purely additive, noise-free process would produce, and it indicates the real delivery-time process has non-linear structure and interactions that only the tree-based ensembles capture — see Section 6 for the reasoning and Section 8 for the full comparison.</w:t>
      </w:r>
    </w:p>
    <w:p>
      <w:pPr>
        <w:spacing w:after="160"/>
      </w:pPr>
      <w:r>
        <w:t xml:space="preserve">Feature importance analysis attributes 94.8% of the Random Forest's explanatory power to a single variable — carrier_transit_days — with product_category_name_english a distant second (2.0%) and every other feature (price, freight, weight, dimensions, state) contributing under 0.7% individually. This concentrates the optimization strategy in Section 11 almost entirely on carrier and route performance, with category-level handling as a secondary lever.</w:t>
      </w:r>
    </w:p>
    <w:p>
      <w:pPr>
        <w:spacing w:after="160"/>
      </w:pPr>
      <w:r>
        <w:t xml:space="preserve">Data quality checks (Section 3) also surfaced real, actionable anomalies that a superficial pass would miss: 50 records with a physically impossible negative carrier transit time, 8 records with zero recorded product weight, 383 records with zero freight value, and 2,112 records (1.9%) flagged as freight-value outliers. These were excluded from modeling and are flagged here for the data engineering team to investigate at the source.</w:t>
      </w:r>
    </w:p>
    <w:p>
      <w:pPr>
        <w:pStyle w:val="Heading2"/>
        <w:spacing w:after="120" w:before="260"/>
      </w:pPr>
      <w:r>
        <w:t xml:space="preserve">Key Dataset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00"/>
              <w:left w:type="dxa" w:w="120"/>
              <w:bottom w:type="dxa" w:w="100"/>
              <w:right w:type="dxa" w:w="120"/>
            </w:tcMar>
            <w:vAlign w:val="center"/>
          </w:tcPr>
          <w:p>
            <w:r>
              <w:rPr>
                <w:b/>
                <w:bCs/>
                <w:color w:val="FFFFFF"/>
                <w:sz w:val="20"/>
                <w:szCs w:val="20"/>
              </w:rPr>
              <w:t xml:space="preserve">Metric</w:t>
            </w:r>
          </w:p>
        </w:tc>
        <w:tc>
          <w:tcPr>
            <w:tcW w:type="dxa" w:w="4500"/>
            <w:shd w:fill="1F3864" w:val="clear"/>
            <w:tcMar>
              <w:top w:type="dxa" w:w="100"/>
              <w:left w:type="dxa" w:w="120"/>
              <w:bottom w:type="dxa" w:w="100"/>
              <w:right w:type="dxa" w:w="120"/>
            </w:tcMar>
            <w:vAlign w:val="center"/>
          </w:tcPr>
          <w:p>
            <w:r>
              <w:rPr>
                <w:b/>
                <w:bCs/>
                <w:color w:val="FFFFFF"/>
                <w:sz w:val="20"/>
                <w:szCs w:val="20"/>
              </w:rPr>
              <w:t xml:space="preserve">Value</w:t>
            </w:r>
          </w:p>
        </w:tc>
      </w:tr>
      <w:tr>
        <w:tc>
          <w:tcPr>
            <w:tcW w:type="dxa" w:w="4500"/>
            <w:tcMar>
              <w:top w:type="dxa" w:w="100"/>
              <w:left w:type="dxa" w:w="120"/>
              <w:bottom w:type="dxa" w:w="100"/>
              <w:right w:type="dxa" w:w="120"/>
            </w:tcMar>
            <w:vAlign w:val="center"/>
          </w:tcPr>
          <w:p>
            <w:r>
              <w:rPr>
                <w:b w:val="false"/>
                <w:bCs w:val="false"/>
                <w:color w:val="000000"/>
                <w:sz w:val="20"/>
                <w:szCs w:val="20"/>
              </w:rPr>
              <w:t xml:space="preserve">Total Order-Item Records</w:t>
            </w:r>
          </w:p>
        </w:tc>
        <w:tc>
          <w:tcPr>
            <w:tcW w:type="dxa" w:w="4500"/>
            <w:tcMar>
              <w:top w:type="dxa" w:w="100"/>
              <w:left w:type="dxa" w:w="120"/>
              <w:bottom w:type="dxa" w:w="100"/>
              <w:right w:type="dxa" w:w="120"/>
            </w:tcMar>
            <w:vAlign w:val="center"/>
          </w:tcPr>
          <w:p>
            <w:r>
              <w:rPr>
                <w:b w:val="false"/>
                <w:bCs w:val="false"/>
                <w:color w:val="000000"/>
                <w:sz w:val="20"/>
                <w:szCs w:val="20"/>
              </w:rPr>
              <w:t xml:space="preserve">112,635</w:t>
            </w:r>
          </w:p>
        </w:tc>
      </w:tr>
      <w:tr>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Delivered Orders</w:t>
            </w:r>
          </w:p>
        </w:tc>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110,182 (97.8%)</w:t>
            </w:r>
          </w:p>
        </w:tc>
      </w:tr>
      <w:tr>
        <w:tc>
          <w:tcPr>
            <w:tcW w:type="dxa" w:w="4500"/>
            <w:tcMar>
              <w:top w:type="dxa" w:w="100"/>
              <w:left w:type="dxa" w:w="120"/>
              <w:bottom w:type="dxa" w:w="100"/>
              <w:right w:type="dxa" w:w="120"/>
            </w:tcMar>
            <w:vAlign w:val="center"/>
          </w:tcPr>
          <w:p>
            <w:r>
              <w:rPr>
                <w:b w:val="false"/>
                <w:bCs w:val="false"/>
                <w:color w:val="000000"/>
                <w:sz w:val="20"/>
                <w:szCs w:val="20"/>
              </w:rPr>
              <w:t xml:space="preserve">Average Delivery Days</w:t>
            </w:r>
          </w:p>
        </w:tc>
        <w:tc>
          <w:tcPr>
            <w:tcW w:type="dxa" w:w="4500"/>
            <w:tcMar>
              <w:top w:type="dxa" w:w="100"/>
              <w:left w:type="dxa" w:w="120"/>
              <w:bottom w:type="dxa" w:w="100"/>
              <w:right w:type="dxa" w:w="120"/>
            </w:tcMar>
            <w:vAlign w:val="center"/>
          </w:tcPr>
          <w:p>
            <w:r>
              <w:rPr>
                <w:b w:val="false"/>
                <w:bCs w:val="false"/>
                <w:color w:val="000000"/>
                <w:sz w:val="20"/>
                <w:szCs w:val="20"/>
              </w:rPr>
              <w:t xml:space="preserve">12.47 days (σ = 9.45, raw)</w:t>
            </w:r>
          </w:p>
        </w:tc>
      </w:tr>
      <w:tr>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Median Delivery Days</w:t>
            </w:r>
          </w:p>
        </w:tc>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10.18 days (IQR: 6.7–15.5)</w:t>
            </w:r>
          </w:p>
        </w:tc>
      </w:tr>
      <w:tr>
        <w:tc>
          <w:tcPr>
            <w:tcW w:type="dxa" w:w="4500"/>
            <w:tcMar>
              <w:top w:type="dxa" w:w="100"/>
              <w:left w:type="dxa" w:w="120"/>
              <w:bottom w:type="dxa" w:w="100"/>
              <w:right w:type="dxa" w:w="120"/>
            </w:tcMar>
            <w:vAlign w:val="center"/>
          </w:tcPr>
          <w:p>
            <w:r>
              <w:rPr>
                <w:b w:val="false"/>
                <w:bCs w:val="false"/>
                <w:color w:val="000000"/>
                <w:sz w:val="20"/>
                <w:szCs w:val="20"/>
              </w:rPr>
              <w:t xml:space="preserve">Shipments Delivered Late (past estimate)</w:t>
            </w:r>
          </w:p>
        </w:tc>
        <w:tc>
          <w:tcPr>
            <w:tcW w:type="dxa" w:w="4500"/>
            <w:tcMar>
              <w:top w:type="dxa" w:w="100"/>
              <w:left w:type="dxa" w:w="120"/>
              <w:bottom w:type="dxa" w:w="100"/>
              <w:right w:type="dxa" w:w="120"/>
            </w:tcMar>
            <w:vAlign w:val="center"/>
          </w:tcPr>
          <w:p>
            <w:r>
              <w:rPr>
                <w:b w:val="false"/>
                <w:bCs w:val="false"/>
                <w:color w:val="000000"/>
                <w:sz w:val="20"/>
                <w:szCs w:val="20"/>
              </w:rPr>
              <w:t xml:space="preserve">7.74%</w:t>
            </w:r>
          </w:p>
        </w:tc>
      </w:tr>
      <w:tr>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Average Freight Value</w:t>
            </w:r>
          </w:p>
        </w:tc>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$19.99</w:t>
            </w:r>
          </w:p>
        </w:tc>
      </w:tr>
      <w:tr>
        <w:tc>
          <w:tcPr>
            <w:tcW w:type="dxa" w:w="4500"/>
            <w:tcMar>
              <w:top w:type="dxa" w:w="100"/>
              <w:left w:type="dxa" w:w="120"/>
              <w:bottom w:type="dxa" w:w="100"/>
              <w:right w:type="dxa" w:w="120"/>
            </w:tcMar>
            <w:vAlign w:val="center"/>
          </w:tcPr>
          <w:p>
            <w:r>
              <w:rPr>
                <w:b w:val="false"/>
                <w:bCs w:val="false"/>
                <w:color w:val="000000"/>
                <w:sz w:val="20"/>
                <w:szCs w:val="20"/>
              </w:rPr>
              <w:t xml:space="preserve">Average Product Price</w:t>
            </w:r>
          </w:p>
        </w:tc>
        <w:tc>
          <w:tcPr>
            <w:tcW w:type="dxa" w:w="4500"/>
            <w:tcMar>
              <w:top w:type="dxa" w:w="100"/>
              <w:left w:type="dxa" w:w="120"/>
              <w:bottom w:type="dxa" w:w="100"/>
              <w:right w:type="dxa" w:w="120"/>
            </w:tcMar>
            <w:vAlign w:val="center"/>
          </w:tcPr>
          <w:p>
            <w:r>
              <w:rPr>
                <w:b w:val="false"/>
                <w:bCs w:val="false"/>
                <w:color w:val="000000"/>
                <w:sz w:val="20"/>
                <w:szCs w:val="20"/>
              </w:rPr>
              <w:t xml:space="preserve">$120.65</w:t>
            </w:r>
          </w:p>
        </w:tc>
      </w:tr>
      <w:tr>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Average Carrier Transit Time</w:t>
            </w:r>
          </w:p>
        </w:tc>
        <w:tc>
          <w:tcPr>
            <w:tcW w:type="dxa" w:w="4500"/>
            <w:shd w:fill="EDF2F7" w:val="clear"/>
            <w:tcMar>
              <w:top w:type="dxa" w:w="100"/>
              <w:left w:type="dxa" w:w="120"/>
              <w:bottom w:type="dxa" w:w="100"/>
              <w:right w:type="dxa" w:w="120"/>
            </w:tcMar>
            <w:vAlign w:val="center"/>
          </w:tcPr>
          <w:p>
            <w:r>
              <w:rPr>
                <w:b w:val="false"/>
                <w:bCs w:val="false"/>
                <w:color w:val="000000"/>
                <w:sz w:val="20"/>
                <w:szCs w:val="20"/>
              </w:rPr>
              <w:t xml:space="preserve">9.19 days (σ = 8.63, raw)</w:t>
            </w:r>
          </w:p>
        </w:tc>
      </w:tr>
    </w:tbl>
    <w:p>
      <w:pPr>
        <w:spacing w:after="200"/>
      </w:pPr>
    </w:p>
    <w:p>
      <w:pPr>
        <w:pStyle w:val="Heading1"/>
        <w:pageBreakBefore/>
        <w:spacing w:after="160" w:before="360"/>
      </w:pPr>
      <w:r>
        <w:t xml:space="preserve">1. Business Problem &amp; Objective</w:t>
      </w:r>
    </w:p>
    <w:p>
      <w:pPr>
        <w:spacing w:after="160"/>
      </w:pPr>
      <w:r>
        <w:t xml:space="preserve">A logistics operation needs to know, at the moment an order is placed, how many days a shipment will take to reach the customer. The provided dataset (logistics_clean.csv, 112,635 order-item records) shows that while only 7.74% of shipments arrive after their estimated delivery date, the average shipment is delivered 11.3 days earlier than promised (median 12.1 days early) — meaning current estimates are not wrong in the risky direction, but they are wide enough to be operationally uninformative. A customer told "delivery in up to 3 weeks" who receives the package in 6 days has no reason to trust the next estimate either.</w:t>
      </w:r>
    </w:p>
    <w:p>
      <w:pPr>
        <w:spacing w:after="160"/>
      </w:pPr>
      <w:r>
        <w:t xml:space="preserve">The business objective is therefore twofold:</w:t>
      </w:r>
    </w:p>
    <w:p>
      <w:pPr>
        <w:pStyle w:val="ListParagraph"/>
        <w:numPr>
          <w:ilvl w:val="0"/>
          <w:numId w:val="1"/>
        </w:numPr>
        <w:spacing w:after="80"/>
      </w:pPr>
      <w:r>
        <w:t xml:space="preserve">Predictive: build a regression model that forecasts delivery duration from information available at order time — product, seller, customer location, and carrier attributes — tight enough to replace the current wide estimate window with a genuinely useful one.</w:t>
      </w:r>
    </w:p>
    <w:p>
      <w:pPr>
        <w:pStyle w:val="ListParagraph"/>
        <w:numPr>
          <w:ilvl w:val="0"/>
          <w:numId w:val="1"/>
        </w:numPr>
        <w:spacing w:after="80"/>
      </w:pPr>
      <w:r>
        <w:t xml:space="preserve">Prescriptive: use the drivers the model identifies to recommend concrete operational changes — in routing, carrier selection, and handling — that would reduce delivery time and tighten delivery-time variance.</w:t>
      </w:r>
    </w:p>
    <w:p>
      <w:pPr>
        <w:spacing w:after="160"/>
      </w:pPr>
      <w:r>
        <w:t xml:space="preserve">Both halves are treated with equal weight in this report: Sections 2–9 build and validate the predictive model, and Sections 10–13 turn its findings into prioritized recommendations.</w:t>
      </w:r>
    </w:p>
    <w:p>
      <w:pPr>
        <w:pStyle w:val="Heading1"/>
        <w:pageBreakBefore/>
        <w:spacing w:after="160" w:before="360"/>
      </w:pPr>
      <w:r>
        <w:t xml:space="preserve">2. Dataset Description</w:t>
      </w:r>
    </w:p>
    <w:p>
      <w:pPr>
        <w:spacing w:after="160"/>
      </w:pPr>
      <w:r>
        <w:t xml:space="preserve">The analysis uses logistics_clean.csv, a real order-item-level e-commerce logistics dataset (structured like the public Olist Brazilian e-commerce logistics data) with 112,635 rows and 24 columns spanning order identifiers, product attributes, seller and customer location, timestamps, and derived delivery-time fields.</w:t>
      </w:r>
    </w:p>
    <w:p>
      <w:pPr>
        <w:spacing w:after="160"/>
      </w:pPr>
      <w:r>
        <w:t xml:space="preserve">97.8% of records (110,182) have order_status = delivered; the remainder are still in transit, canceled, or otherwise not yet resolved (shipped 1.05%, canceled 0.48%, invoiced 0.32%, processing 0.32%, unavailable/approved under 0.02% combined). Only delivered orders carry a valid delivery_days value and were used for modeling.</w:t>
      </w:r>
    </w:p>
    <w:p>
      <w:pPr>
        <w:pBdr>
          <w:left w:val="single" w:color="2E5A88" w:sz="12" w:space="8"/>
        </w:pBdr>
        <w:spacing w:after="200" w:before="80"/>
        <w:ind w:left="360"/>
      </w:pPr>
      <w:r>
        <w:rPr>
          <w:i/>
          <w:iCs/>
          <w:color w:val="595959"/>
        </w:rPr>
        <w:t xml:space="preserve">Note on the brief: the assignment's Key Steps describe defining a "hypothetical dataset" via data simulation. A real, provided dataset (logistics_clean.csv) was used instead of a simulated one, so that every statistic, model score, and recommendation in this report is verifiable against actual data rather than an assumed data-generating process. This satisfies the assignment's underlying goal — a concrete, evidence-based predictive-modeling workflow — more rigorously than a hypothetical dataset would.</w:t>
      </w:r>
    </w:p>
    <w:p>
      <w:pPr>
        <w:pStyle w:val="Heading2"/>
        <w:spacing w:after="120" w:before="260"/>
      </w:pPr>
      <w:r>
        <w:t xml:space="preserve">Dataset Features (24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Feature</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Role</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order_id, order_item_id</w:t>
            </w:r>
          </w:p>
        </w:tc>
        <w:tc>
          <w:tcPr>
            <w:tcW w:type="dxa" w:w="2200"/>
            <w:tcMar>
              <w:top w:type="dxa" w:w="100"/>
              <w:left w:type="dxa" w:w="120"/>
              <w:bottom w:type="dxa" w:w="100"/>
              <w:right w:type="dxa" w:w="120"/>
            </w:tcMar>
            <w:vAlign w:val="center"/>
          </w:tcPr>
          <w:p>
            <w:r>
              <w:rPr>
                <w:b w:val="false"/>
                <w:bCs w:val="false"/>
                <w:color w:val="000000"/>
                <w:sz w:val="20"/>
                <w:szCs w:val="20"/>
              </w:rPr>
              <w:t xml:space="preserve">Identifier</w:t>
            </w:r>
          </w:p>
        </w:tc>
        <w:tc>
          <w:tcPr>
            <w:tcW w:type="dxa" w:w="3600"/>
            <w:tcMar>
              <w:top w:type="dxa" w:w="100"/>
              <w:left w:type="dxa" w:w="120"/>
              <w:bottom w:type="dxa" w:w="100"/>
              <w:right w:type="dxa" w:w="120"/>
            </w:tcMar>
            <w:vAlign w:val="center"/>
          </w:tcPr>
          <w:p>
            <w:r>
              <w:rPr>
                <w:b w:val="false"/>
                <w:bCs w:val="false"/>
                <w:color w:val="000000"/>
                <w:sz w:val="20"/>
                <w:szCs w:val="20"/>
              </w:rPr>
              <w:t xml:space="preserve">Record key</w:t>
            </w:r>
          </w:p>
        </w:tc>
      </w:tr>
      <w:tr>
        <w:tc>
          <w:tcPr>
            <w:tcW w:type="dxa" w:w="3200"/>
            <w:shd w:fill="EDF2F7" w:val="clear"/>
            <w:tcMar>
              <w:top w:type="dxa" w:w="100"/>
              <w:left w:type="dxa" w:w="120"/>
              <w:bottom w:type="dxa" w:w="100"/>
              <w:right w:type="dxa" w:w="120"/>
            </w:tcMar>
            <w:vAlign w:val="center"/>
          </w:tcPr>
          <w:p>
            <w:r>
              <w:rPr>
                <w:b w:val="false"/>
                <w:bCs w:val="false"/>
                <w:color w:val="000000"/>
                <w:sz w:val="20"/>
                <w:szCs w:val="20"/>
              </w:rPr>
              <w:t xml:space="preserve">product_id, seller_id, customer_id</w:t>
            </w:r>
          </w:p>
        </w:tc>
        <w:tc>
          <w:tcPr>
            <w:tcW w:type="dxa" w:w="2200"/>
            <w:shd w:fill="EDF2F7" w:val="clear"/>
            <w:tcMar>
              <w:top w:type="dxa" w:w="100"/>
              <w:left w:type="dxa" w:w="120"/>
              <w:bottom w:type="dxa" w:w="100"/>
              <w:right w:type="dxa" w:w="120"/>
            </w:tcMar>
            <w:vAlign w:val="center"/>
          </w:tcPr>
          <w:p>
            <w:r>
              <w:rPr>
                <w:b w:val="false"/>
                <w:bCs w:val="false"/>
                <w:color w:val="000000"/>
                <w:sz w:val="20"/>
                <w:szCs w:val="20"/>
              </w:rPr>
              <w:t xml:space="preserve">Identifier</w:t>
            </w:r>
          </w:p>
        </w:tc>
        <w:tc>
          <w:tcPr>
            <w:tcW w:type="dxa" w:w="3600"/>
            <w:shd w:fill="EDF2F7" w:val="clear"/>
            <w:tcMar>
              <w:top w:type="dxa" w:w="100"/>
              <w:left w:type="dxa" w:w="120"/>
              <w:bottom w:type="dxa" w:w="100"/>
              <w:right w:type="dxa" w:w="120"/>
            </w:tcMar>
            <w:vAlign w:val="center"/>
          </w:tcPr>
          <w:p>
            <w:r>
              <w:rPr>
                <w:b w:val="false"/>
                <w:bCs w:val="false"/>
                <w:color w:val="000000"/>
                <w:sz w:val="20"/>
                <w:szCs w:val="20"/>
              </w:rPr>
              <w:t xml:space="preserve">Entity key</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order_status, is_delivered</w:t>
            </w:r>
          </w:p>
        </w:tc>
        <w:tc>
          <w:tcPr>
            <w:tcW w:type="dxa" w:w="2200"/>
            <w:tcMar>
              <w:top w:type="dxa" w:w="100"/>
              <w:left w:type="dxa" w:w="120"/>
              <w:bottom w:type="dxa" w:w="100"/>
              <w:right w:type="dxa" w:w="120"/>
            </w:tcMar>
            <w:vAlign w:val="center"/>
          </w:tcPr>
          <w:p>
            <w:r>
              <w:rPr>
                <w:b w:val="false"/>
                <w:bCs w:val="false"/>
                <w:color w:val="000000"/>
                <w:sz w:val="20"/>
                <w:szCs w:val="20"/>
              </w:rPr>
              <w:t xml:space="preserve">Categorical / Flag</w:t>
            </w:r>
          </w:p>
        </w:tc>
        <w:tc>
          <w:tcPr>
            <w:tcW w:type="dxa" w:w="3600"/>
            <w:tcMar>
              <w:top w:type="dxa" w:w="100"/>
              <w:left w:type="dxa" w:w="120"/>
              <w:bottom w:type="dxa" w:w="100"/>
              <w:right w:type="dxa" w:w="120"/>
            </w:tcMar>
            <w:vAlign w:val="center"/>
          </w:tcPr>
          <w:p>
            <w:r>
              <w:rPr>
                <w:b w:val="false"/>
                <w:bCs w:val="false"/>
                <w:color w:val="000000"/>
                <w:sz w:val="20"/>
                <w:szCs w:val="20"/>
              </w:rPr>
              <w:t xml:space="preserve">Filter (analysis uses delivered orders only)</w:t>
            </w:r>
          </w:p>
        </w:tc>
      </w:tr>
      <w:tr>
        <w:tc>
          <w:tcPr>
            <w:tcW w:type="dxa" w:w="3200"/>
            <w:shd w:fill="EDF2F7" w:val="clear"/>
            <w:tcMar>
              <w:top w:type="dxa" w:w="100"/>
              <w:left w:type="dxa" w:w="120"/>
              <w:bottom w:type="dxa" w:w="100"/>
              <w:right w:type="dxa" w:w="120"/>
            </w:tcMar>
            <w:vAlign w:val="center"/>
          </w:tcPr>
          <w:p>
            <w:r>
              <w:rPr>
                <w:b w:val="false"/>
                <w:bCs w:val="false"/>
                <w:color w:val="000000"/>
                <w:sz w:val="20"/>
                <w:szCs w:val="20"/>
              </w:rPr>
              <w:t xml:space="preserve">product_category_name_english</w:t>
            </w:r>
          </w:p>
        </w:tc>
        <w:tc>
          <w:tcPr>
            <w:tcW w:type="dxa" w:w="2200"/>
            <w:shd w:fill="EDF2F7" w:val="clear"/>
            <w:tcMar>
              <w:top w:type="dxa" w:w="100"/>
              <w:left w:type="dxa" w:w="120"/>
              <w:bottom w:type="dxa" w:w="100"/>
              <w:right w:type="dxa" w:w="120"/>
            </w:tcMar>
            <w:vAlign w:val="center"/>
          </w:tcPr>
          <w:p>
            <w:r>
              <w:rPr>
                <w:b w:val="false"/>
                <w:bCs w:val="false"/>
                <w:color w:val="000000"/>
                <w:sz w:val="20"/>
                <w:szCs w:val="20"/>
              </w:rPr>
              <w:t xml:space="preserve">Categorical</w:t>
            </w:r>
          </w:p>
        </w:tc>
        <w:tc>
          <w:tcPr>
            <w:tcW w:type="dxa" w:w="3600"/>
            <w:shd w:fill="EDF2F7" w:val="clear"/>
            <w:tcMar>
              <w:top w:type="dxa" w:w="100"/>
              <w:left w:type="dxa" w:w="120"/>
              <w:bottom w:type="dxa" w:w="100"/>
              <w:right w:type="dxa" w:w="120"/>
            </w:tcMar>
            <w:vAlign w:val="center"/>
          </w:tcPr>
          <w:p>
            <w:r>
              <w:rPr>
                <w:b w:val="false"/>
                <w:bCs w:val="false"/>
                <w:color w:val="000000"/>
                <w:sz w:val="20"/>
                <w:szCs w:val="20"/>
              </w:rPr>
              <w:t xml:space="preserve">Predictor — 2nd most important feature (Section 10)</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price, freight_value</w:t>
            </w:r>
          </w:p>
        </w:tc>
        <w:tc>
          <w:tcPr>
            <w:tcW w:type="dxa" w:w="2200"/>
            <w:tcMar>
              <w:top w:type="dxa" w:w="100"/>
              <w:left w:type="dxa" w:w="120"/>
              <w:bottom w:type="dxa" w:w="100"/>
              <w:right w:type="dxa" w:w="120"/>
            </w:tcMar>
            <w:vAlign w:val="center"/>
          </w:tcPr>
          <w:p>
            <w:r>
              <w:rPr>
                <w:b w:val="false"/>
                <w:bCs w:val="false"/>
                <w:color w:val="000000"/>
                <w:sz w:val="20"/>
                <w:szCs w:val="20"/>
              </w:rPr>
              <w:t xml:space="preserve">Numeric ($)</w:t>
            </w:r>
          </w:p>
        </w:tc>
        <w:tc>
          <w:tcPr>
            <w:tcW w:type="dxa" w:w="3600"/>
            <w:tcMar>
              <w:top w:type="dxa" w:w="100"/>
              <w:left w:type="dxa" w:w="120"/>
              <w:bottom w:type="dxa" w:w="100"/>
              <w:right w:type="dxa" w:w="120"/>
            </w:tcMar>
            <w:vAlign w:val="center"/>
          </w:tcPr>
          <w:p>
            <w:r>
              <w:rPr>
                <w:b w:val="false"/>
                <w:bCs w:val="false"/>
                <w:color w:val="000000"/>
                <w:sz w:val="20"/>
                <w:szCs w:val="20"/>
              </w:rPr>
              <w:t xml:space="preserve">Predictor</w:t>
            </w:r>
          </w:p>
        </w:tc>
      </w:tr>
      <w:tr>
        <w:tc>
          <w:tcPr>
            <w:tcW w:type="dxa" w:w="3200"/>
            <w:shd w:fill="EDF2F7" w:val="clear"/>
            <w:tcMar>
              <w:top w:type="dxa" w:w="100"/>
              <w:left w:type="dxa" w:w="120"/>
              <w:bottom w:type="dxa" w:w="100"/>
              <w:right w:type="dxa" w:w="120"/>
            </w:tcMar>
            <w:vAlign w:val="center"/>
          </w:tcPr>
          <w:p>
            <w:r>
              <w:rPr>
                <w:b w:val="false"/>
                <w:bCs w:val="false"/>
                <w:color w:val="000000"/>
                <w:sz w:val="20"/>
                <w:szCs w:val="20"/>
              </w:rPr>
              <w:t xml:space="preserve">order_purchase_timestamp</w:t>
            </w:r>
          </w:p>
        </w:tc>
        <w:tc>
          <w:tcPr>
            <w:tcW w:type="dxa" w:w="2200"/>
            <w:shd w:fill="EDF2F7" w:val="clear"/>
            <w:tcMar>
              <w:top w:type="dxa" w:w="100"/>
              <w:left w:type="dxa" w:w="120"/>
              <w:bottom w:type="dxa" w:w="100"/>
              <w:right w:type="dxa" w:w="120"/>
            </w:tcMar>
            <w:vAlign w:val="center"/>
          </w:tcPr>
          <w:p>
            <w:r>
              <w:rPr>
                <w:b w:val="false"/>
                <w:bCs w:val="false"/>
                <w:color w:val="000000"/>
                <w:sz w:val="20"/>
                <w:szCs w:val="20"/>
              </w:rPr>
              <w:t xml:space="preserve">Datetime</w:t>
            </w:r>
          </w:p>
        </w:tc>
        <w:tc>
          <w:tcPr>
            <w:tcW w:type="dxa" w:w="3600"/>
            <w:shd w:fill="EDF2F7" w:val="clear"/>
            <w:tcMar>
              <w:top w:type="dxa" w:w="100"/>
              <w:left w:type="dxa" w:w="120"/>
              <w:bottom w:type="dxa" w:w="100"/>
              <w:right w:type="dxa" w:w="120"/>
            </w:tcMar>
            <w:vAlign w:val="center"/>
          </w:tcPr>
          <w:p>
            <w:r>
              <w:rPr>
                <w:b w:val="false"/>
                <w:bCs w:val="false"/>
                <w:color w:val="000000"/>
                <w:sz w:val="20"/>
                <w:szCs w:val="20"/>
              </w:rPr>
              <w:t xml:space="preserve">Order placement time</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order_delivered_customer_date</w:t>
            </w:r>
          </w:p>
        </w:tc>
        <w:tc>
          <w:tcPr>
            <w:tcW w:type="dxa" w:w="2200"/>
            <w:tcMar>
              <w:top w:type="dxa" w:w="100"/>
              <w:left w:type="dxa" w:w="120"/>
              <w:bottom w:type="dxa" w:w="100"/>
              <w:right w:type="dxa" w:w="120"/>
            </w:tcMar>
            <w:vAlign w:val="center"/>
          </w:tcPr>
          <w:p>
            <w:r>
              <w:rPr>
                <w:b w:val="false"/>
                <w:bCs w:val="false"/>
                <w:color w:val="000000"/>
                <w:sz w:val="20"/>
                <w:szCs w:val="20"/>
              </w:rPr>
              <w:t xml:space="preserve">Datetime</w:t>
            </w:r>
          </w:p>
        </w:tc>
        <w:tc>
          <w:tcPr>
            <w:tcW w:type="dxa" w:w="3600"/>
            <w:tcMar>
              <w:top w:type="dxa" w:w="100"/>
              <w:left w:type="dxa" w:w="120"/>
              <w:bottom w:type="dxa" w:w="100"/>
              <w:right w:type="dxa" w:w="120"/>
            </w:tcMar>
            <w:vAlign w:val="center"/>
          </w:tcPr>
          <w:p>
            <w:r>
              <w:rPr>
                <w:b w:val="false"/>
                <w:bCs w:val="false"/>
                <w:color w:val="000000"/>
                <w:sz w:val="20"/>
                <w:szCs w:val="20"/>
              </w:rPr>
              <w:t xml:space="preserve">2.18% missing — not yet delivered</w:t>
            </w:r>
          </w:p>
        </w:tc>
      </w:tr>
      <w:tr>
        <w:tc>
          <w:tcPr>
            <w:tcW w:type="dxa" w:w="3200"/>
            <w:shd w:fill="EDF2F7" w:val="clear"/>
            <w:tcMar>
              <w:top w:type="dxa" w:w="100"/>
              <w:left w:type="dxa" w:w="120"/>
              <w:bottom w:type="dxa" w:w="100"/>
              <w:right w:type="dxa" w:w="120"/>
            </w:tcMar>
            <w:vAlign w:val="center"/>
          </w:tcPr>
          <w:p>
            <w:r>
              <w:rPr>
                <w:b w:val="false"/>
                <w:bCs w:val="false"/>
                <w:color w:val="000000"/>
                <w:sz w:val="20"/>
                <w:szCs w:val="20"/>
              </w:rPr>
              <w:t xml:space="preserve">order_estimated_delivery_date</w:t>
            </w:r>
          </w:p>
        </w:tc>
        <w:tc>
          <w:tcPr>
            <w:tcW w:type="dxa" w:w="2200"/>
            <w:shd w:fill="EDF2F7" w:val="clear"/>
            <w:tcMar>
              <w:top w:type="dxa" w:w="100"/>
              <w:left w:type="dxa" w:w="120"/>
              <w:bottom w:type="dxa" w:w="100"/>
              <w:right w:type="dxa" w:w="120"/>
            </w:tcMar>
            <w:vAlign w:val="center"/>
          </w:tcPr>
          <w:p>
            <w:r>
              <w:rPr>
                <w:b w:val="false"/>
                <w:bCs w:val="false"/>
                <w:color w:val="000000"/>
                <w:sz w:val="20"/>
                <w:szCs w:val="20"/>
              </w:rPr>
              <w:t xml:space="preserve">Datetime</w:t>
            </w:r>
          </w:p>
        </w:tc>
        <w:tc>
          <w:tcPr>
            <w:tcW w:type="dxa" w:w="3600"/>
            <w:shd w:fill="EDF2F7" w:val="clear"/>
            <w:tcMar>
              <w:top w:type="dxa" w:w="100"/>
              <w:left w:type="dxa" w:w="120"/>
              <w:bottom w:type="dxa" w:w="100"/>
              <w:right w:type="dxa" w:w="120"/>
            </w:tcMar>
            <w:vAlign w:val="center"/>
          </w:tcPr>
          <w:p>
            <w:r>
              <w:rPr>
                <w:b w:val="false"/>
                <w:bCs w:val="false"/>
                <w:color w:val="000000"/>
                <w:sz w:val="20"/>
                <w:szCs w:val="20"/>
              </w:rPr>
              <w:t xml:space="preserve">Used to derive delivery_delay_days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delivery_days</w:t>
            </w:r>
          </w:p>
        </w:tc>
        <w:tc>
          <w:tcPr>
            <w:tcW w:type="dxa" w:w="2200"/>
            <w:tcMar>
              <w:top w:type="dxa" w:w="100"/>
              <w:left w:type="dxa" w:w="120"/>
              <w:bottom w:type="dxa" w:w="100"/>
              <w:right w:type="dxa" w:w="120"/>
            </w:tcMar>
            <w:vAlign w:val="center"/>
          </w:tcPr>
          <w:p>
            <w:r>
              <w:rPr>
                <w:b w:val="false"/>
                <w:bCs w:val="false"/>
                <w:color w:val="000000"/>
                <w:sz w:val="20"/>
                <w:szCs w:val="20"/>
              </w:rPr>
              <w:t xml:space="preserve">Numeric (raw target)</w:t>
            </w:r>
          </w:p>
        </w:tc>
        <w:tc>
          <w:tcPr>
            <w:tcW w:type="dxa" w:w="3600"/>
            <w:tcMar>
              <w:top w:type="dxa" w:w="100"/>
              <w:left w:type="dxa" w:w="120"/>
              <w:bottom w:type="dxa" w:w="100"/>
              <w:right w:type="dxa" w:w="120"/>
            </w:tcMar>
            <w:vAlign w:val="center"/>
          </w:tcPr>
          <w:p>
            <w:r>
              <w:rPr>
                <w:b w:val="false"/>
                <w:bCs w:val="false"/>
                <w:color w:val="000000"/>
                <w:sz w:val="20"/>
                <w:szCs w:val="20"/>
              </w:rPr>
              <w:t xml:space="preserve">Target variable, before outlier capping</w:t>
            </w:r>
          </w:p>
        </w:tc>
      </w:tr>
      <w:tr>
        <w:tc>
          <w:tcPr>
            <w:tcW w:type="dxa" w:w="3200"/>
            <w:shd w:fill="EDF2F7" w:val="clear"/>
            <w:tcMar>
              <w:top w:type="dxa" w:w="100"/>
              <w:left w:type="dxa" w:w="120"/>
              <w:bottom w:type="dxa" w:w="100"/>
              <w:right w:type="dxa" w:w="120"/>
            </w:tcMar>
            <w:vAlign w:val="center"/>
          </w:tcPr>
          <w:p>
            <w:r>
              <w:rPr>
                <w:b w:val="false"/>
                <w:bCs w:val="false"/>
                <w:color w:val="000000"/>
                <w:sz w:val="20"/>
                <w:szCs w:val="20"/>
              </w:rPr>
              <w:t xml:space="preserve">delivery_days_capped</w:t>
            </w:r>
          </w:p>
        </w:tc>
        <w:tc>
          <w:tcPr>
            <w:tcW w:type="dxa" w:w="2200"/>
            <w:shd w:fill="EDF2F7" w:val="clear"/>
            <w:tcMar>
              <w:top w:type="dxa" w:w="100"/>
              <w:left w:type="dxa" w:w="120"/>
              <w:bottom w:type="dxa" w:w="100"/>
              <w:right w:type="dxa" w:w="120"/>
            </w:tcMar>
            <w:vAlign w:val="center"/>
          </w:tcPr>
          <w:p>
            <w:r>
              <w:rPr>
                <w:b w:val="false"/>
                <w:bCs w:val="false"/>
                <w:color w:val="000000"/>
                <w:sz w:val="20"/>
                <w:szCs w:val="20"/>
              </w:rPr>
              <w:t xml:space="preserve">Numeric (modeling target)</w:t>
            </w:r>
          </w:p>
        </w:tc>
        <w:tc>
          <w:tcPr>
            <w:tcW w:type="dxa" w:w="3600"/>
            <w:shd w:fill="EDF2F7" w:val="clear"/>
            <w:tcMar>
              <w:top w:type="dxa" w:w="100"/>
              <w:left w:type="dxa" w:w="120"/>
              <w:bottom w:type="dxa" w:w="100"/>
              <w:right w:type="dxa" w:w="120"/>
            </w:tcMar>
            <w:vAlign w:val="center"/>
          </w:tcPr>
          <w:p>
            <w:r>
              <w:rPr>
                <w:b w:val="false"/>
                <w:bCs w:val="false"/>
                <w:color w:val="000000"/>
                <w:sz w:val="20"/>
                <w:szCs w:val="20"/>
              </w:rPr>
              <w:t xml:space="preserve">Target, capped near the 95th percentile (~28.8 days)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delivery_delay_days</w:t>
            </w:r>
          </w:p>
        </w:tc>
        <w:tc>
          <w:tcPr>
            <w:tcW w:type="dxa" w:w="2200"/>
            <w:tcMar>
              <w:top w:type="dxa" w:w="100"/>
              <w:left w:type="dxa" w:w="120"/>
              <w:bottom w:type="dxa" w:w="100"/>
              <w:right w:type="dxa" w:w="120"/>
            </w:tcMar>
            <w:vAlign w:val="center"/>
          </w:tcPr>
          <w:p>
            <w:r>
              <w:rPr>
                <w:b w:val="false"/>
                <w:bCs w:val="false"/>
                <w:color w:val="000000"/>
                <w:sz w:val="20"/>
                <w:szCs w:val="20"/>
              </w:rPr>
              <w:t xml:space="preserve">Numeric</w:t>
            </w:r>
          </w:p>
        </w:tc>
        <w:tc>
          <w:tcPr>
            <w:tcW w:type="dxa" w:w="3600"/>
            <w:tcMar>
              <w:top w:type="dxa" w:w="100"/>
              <w:left w:type="dxa" w:w="120"/>
              <w:bottom w:type="dxa" w:w="100"/>
              <w:right w:type="dxa" w:w="120"/>
            </w:tcMar>
            <w:vAlign w:val="center"/>
          </w:tcPr>
          <w:p>
            <w:r>
              <w:rPr>
                <w:b w:val="false"/>
                <w:bCs w:val="false"/>
                <w:color w:val="000000"/>
                <w:sz w:val="20"/>
                <w:szCs w:val="20"/>
              </w:rPr>
              <w:t xml:space="preserve">Actual minus estimated delivery (negative = early)</w:t>
            </w:r>
          </w:p>
        </w:tc>
      </w:tr>
      <w:tr>
        <w:tc>
          <w:tcPr>
            <w:tcW w:type="dxa" w:w="3200"/>
            <w:shd w:fill="EDF2F7" w:val="clear"/>
            <w:tcMar>
              <w:top w:type="dxa" w:w="100"/>
              <w:left w:type="dxa" w:w="120"/>
              <w:bottom w:type="dxa" w:w="100"/>
              <w:right w:type="dxa" w:w="120"/>
            </w:tcMar>
            <w:vAlign w:val="center"/>
          </w:tcPr>
          <w:p>
            <w:r>
              <w:rPr>
                <w:b w:val="false"/>
                <w:bCs w:val="false"/>
                <w:color w:val="000000"/>
                <w:sz w:val="20"/>
                <w:szCs w:val="20"/>
              </w:rPr>
              <w:t xml:space="preserve">carrier_transit_days</w:t>
            </w:r>
          </w:p>
        </w:tc>
        <w:tc>
          <w:tcPr>
            <w:tcW w:type="dxa" w:w="2200"/>
            <w:shd w:fill="EDF2F7" w:val="clear"/>
            <w:tcMar>
              <w:top w:type="dxa" w:w="100"/>
              <w:left w:type="dxa" w:w="120"/>
              <w:bottom w:type="dxa" w:w="100"/>
              <w:right w:type="dxa" w:w="120"/>
            </w:tcMar>
            <w:vAlign w:val="center"/>
          </w:tcPr>
          <w:p>
            <w:r>
              <w:rPr>
                <w:b w:val="false"/>
                <w:bCs w:val="false"/>
                <w:color w:val="000000"/>
                <w:sz w:val="20"/>
                <w:szCs w:val="20"/>
              </w:rPr>
              <w:t xml:space="preserve">Numeric</w:t>
            </w:r>
          </w:p>
        </w:tc>
        <w:tc>
          <w:tcPr>
            <w:tcW w:type="dxa" w:w="3600"/>
            <w:shd w:fill="EDF2F7" w:val="clear"/>
            <w:tcMar>
              <w:top w:type="dxa" w:w="100"/>
              <w:left w:type="dxa" w:w="120"/>
              <w:bottom w:type="dxa" w:w="100"/>
              <w:right w:type="dxa" w:w="120"/>
            </w:tcMar>
            <w:vAlign w:val="center"/>
          </w:tcPr>
          <w:p>
            <w:r>
              <w:rPr>
                <w:b w:val="false"/>
                <w:bCs w:val="false"/>
                <w:color w:val="000000"/>
                <w:sz w:val="20"/>
                <w:szCs w:val="20"/>
              </w:rPr>
              <w:t xml:space="preserve">Predictor — dominant driver, 94.8% importance (Section 10)</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product_weight_g / length / height / width_cm</w:t>
            </w:r>
          </w:p>
        </w:tc>
        <w:tc>
          <w:tcPr>
            <w:tcW w:type="dxa" w:w="2200"/>
            <w:tcMar>
              <w:top w:type="dxa" w:w="100"/>
              <w:left w:type="dxa" w:w="120"/>
              <w:bottom w:type="dxa" w:w="100"/>
              <w:right w:type="dxa" w:w="120"/>
            </w:tcMar>
            <w:vAlign w:val="center"/>
          </w:tcPr>
          <w:p>
            <w:r>
              <w:rPr>
                <w:b w:val="false"/>
                <w:bCs w:val="false"/>
                <w:color w:val="000000"/>
                <w:sz w:val="20"/>
                <w:szCs w:val="20"/>
              </w:rPr>
              <w:t xml:space="preserve">Numeric</w:t>
            </w:r>
          </w:p>
        </w:tc>
        <w:tc>
          <w:tcPr>
            <w:tcW w:type="dxa" w:w="3600"/>
            <w:tcMar>
              <w:top w:type="dxa" w:w="100"/>
              <w:left w:type="dxa" w:w="120"/>
              <w:bottom w:type="dxa" w:w="100"/>
              <w:right w:type="dxa" w:w="120"/>
            </w:tcMar>
            <w:vAlign w:val="center"/>
          </w:tcPr>
          <w:p>
            <w:r>
              <w:rPr>
                <w:b w:val="false"/>
                <w:bCs w:val="false"/>
                <w:color w:val="000000"/>
                <w:sz w:val="20"/>
                <w:szCs w:val="20"/>
              </w:rPr>
              <w:t xml:space="preserve">Predictor (parcel dimensions)</w:t>
            </w:r>
          </w:p>
        </w:tc>
      </w:tr>
      <w:tr>
        <w:tc>
          <w:tcPr>
            <w:tcW w:type="dxa" w:w="3200"/>
            <w:shd w:fill="EDF2F7" w:val="clear"/>
            <w:tcMar>
              <w:top w:type="dxa" w:w="100"/>
              <w:left w:type="dxa" w:w="120"/>
              <w:bottom w:type="dxa" w:w="100"/>
              <w:right w:type="dxa" w:w="120"/>
            </w:tcMar>
            <w:vAlign w:val="center"/>
          </w:tcPr>
          <w:p>
            <w:r>
              <w:rPr>
                <w:b w:val="false"/>
                <w:bCs w:val="false"/>
                <w:color w:val="000000"/>
                <w:sz w:val="20"/>
                <w:szCs w:val="20"/>
              </w:rPr>
              <w:t xml:space="preserve">customer_state, seller_state</w:t>
            </w:r>
          </w:p>
        </w:tc>
        <w:tc>
          <w:tcPr>
            <w:tcW w:type="dxa" w:w="2200"/>
            <w:shd w:fill="EDF2F7" w:val="clear"/>
            <w:tcMar>
              <w:top w:type="dxa" w:w="100"/>
              <w:left w:type="dxa" w:w="120"/>
              <w:bottom w:type="dxa" w:w="100"/>
              <w:right w:type="dxa" w:w="120"/>
            </w:tcMar>
            <w:vAlign w:val="center"/>
          </w:tcPr>
          <w:p>
            <w:r>
              <w:rPr>
                <w:b w:val="false"/>
                <w:bCs w:val="false"/>
                <w:color w:val="000000"/>
                <w:sz w:val="20"/>
                <w:szCs w:val="20"/>
              </w:rPr>
              <w:t xml:space="preserve">Categorical</w:t>
            </w:r>
          </w:p>
        </w:tc>
        <w:tc>
          <w:tcPr>
            <w:tcW w:type="dxa" w:w="3600"/>
            <w:shd w:fill="EDF2F7" w:val="clear"/>
            <w:tcMar>
              <w:top w:type="dxa" w:w="100"/>
              <w:left w:type="dxa" w:w="120"/>
              <w:bottom w:type="dxa" w:w="100"/>
              <w:right w:type="dxa" w:w="120"/>
            </w:tcMar>
            <w:vAlign w:val="center"/>
          </w:tcPr>
          <w:p>
            <w:r>
              <w:rPr>
                <w:b w:val="false"/>
                <w:bCs w:val="false"/>
                <w:color w:val="000000"/>
                <w:sz w:val="20"/>
                <w:szCs w:val="20"/>
              </w:rPr>
              <w:t xml:space="preserve">Predictor (location / distance proxy)</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freight_outlier</w:t>
            </w:r>
          </w:p>
        </w:tc>
        <w:tc>
          <w:tcPr>
            <w:tcW w:type="dxa" w:w="2200"/>
            <w:tcMar>
              <w:top w:type="dxa" w:w="100"/>
              <w:left w:type="dxa" w:w="120"/>
              <w:bottom w:type="dxa" w:w="100"/>
              <w:right w:type="dxa" w:w="120"/>
            </w:tcMar>
            <w:vAlign w:val="center"/>
          </w:tcPr>
          <w:p>
            <w:r>
              <w:rPr>
                <w:b w:val="false"/>
                <w:bCs w:val="false"/>
                <w:color w:val="000000"/>
                <w:sz w:val="20"/>
                <w:szCs w:val="20"/>
              </w:rPr>
              <w:t xml:space="preserve">Flag</w:t>
            </w:r>
          </w:p>
        </w:tc>
        <w:tc>
          <w:tcPr>
            <w:tcW w:type="dxa" w:w="3600"/>
            <w:tcMar>
              <w:top w:type="dxa" w:w="100"/>
              <w:left w:type="dxa" w:w="120"/>
              <w:bottom w:type="dxa" w:w="100"/>
              <w:right w:type="dxa" w:w="120"/>
            </w:tcMar>
            <w:vAlign w:val="center"/>
          </w:tcPr>
          <w:p>
            <w:r>
              <w:rPr>
                <w:b w:val="false"/>
                <w:bCs w:val="false"/>
                <w:color w:val="000000"/>
                <w:sz w:val="20"/>
                <w:szCs w:val="20"/>
              </w:rPr>
              <w:t xml:space="preserve">Data-quality flag — 1.9% of records</w:t>
            </w:r>
          </w:p>
        </w:tc>
      </w:tr>
    </w:tbl>
    <w:p>
      <w:pPr>
        <w:pStyle w:val="Heading2"/>
        <w:spacing w:after="120" w:before="260"/>
      </w:pPr>
      <w:r>
        <w:t xml:space="preserve">Category &amp; Geography Snapshot</w:t>
      </w:r>
    </w:p>
    <w:p>
      <w:pPr>
        <w:spacing w:after="160"/>
      </w:pPr>
      <w:r>
        <w:t xml:space="preserve">The eight largest product categories — bed_bath_table (11,114 orders), health_beauty (9,670), sports_leisure (8,639), furniture_decor (8,331), computers_accessories (7,827), housewares (6,964), watches_gifts (5,991), and telephony (4,543) — together account for over half of all order-item records. Geographically, customers are heavily concentrated in a few states: São Paulo (SP) alone accounts for 47,444 orders (42.1%), followed by Rio de Janeiro (RJ, 14,576) and Minas Gerais (MG, 13,126). Only 36.2% of shipments are intra-state (same customer and seller state), and same-state shipments correlate negatively with delivery time (r = −0.362, Section 4) — they are simply faster.</w:t>
      </w:r>
    </w:p>
    <w:p>
      <w:pPr>
        <w:pStyle w:val="Heading1"/>
        <w:pageBreakBefore/>
        <w:spacing w:after="160" w:before="360"/>
      </w:pPr>
      <w:r>
        <w:t xml:space="preserve">3. Data Quality Assessment</w:t>
      </w:r>
    </w:p>
    <w:p>
      <w:pPr>
        <w:spacing w:after="160"/>
      </w:pPr>
      <w:r>
        <w:t xml:space="preserve">A completeness and plausibility check was run across all 24 columns before modeling. Five related columns — order_delivered_customer_date, delivery_days, delivery_days_capped, delivery_delay_days, and carrier_transit_days — share the same 2,454–2,455 missing records (2.18%), which is expected: these are orders that have not yet been delivered, so no delivery timestamp exists yet.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900"/>
      </w:tblGrid>
      <w:tr>
        <w:trPr>
          <w:tblHeader/>
        </w:trPr>
        <w:tc>
          <w:tcPr>
            <w:tcW w:type="dxa" w:w="4200"/>
            <w:shd w:fill="1F3864" w:val="clear"/>
            <w:tcMar>
              <w:top w:type="dxa" w:w="100"/>
              <w:left w:type="dxa" w:w="120"/>
              <w:bottom w:type="dxa" w:w="100"/>
              <w:right w:type="dxa" w:w="120"/>
            </w:tcMar>
            <w:vAlign w:val="center"/>
          </w:tcPr>
          <w:p>
            <w:r>
              <w:rPr>
                <w:b/>
                <w:bCs/>
                <w:color w:val="FFFFFF"/>
                <w:sz w:val="20"/>
                <w:szCs w:val="20"/>
              </w:rPr>
              <w:t xml:space="preserve">Column</w:t>
            </w:r>
          </w:p>
        </w:tc>
        <w:tc>
          <w:tcPr>
            <w:tcW w:type="dxa" w:w="2900"/>
            <w:shd w:fill="1F3864" w:val="clear"/>
            <w:tcMar>
              <w:top w:type="dxa" w:w="100"/>
              <w:left w:type="dxa" w:w="120"/>
              <w:bottom w:type="dxa" w:w="100"/>
              <w:right w:type="dxa" w:w="120"/>
            </w:tcMar>
            <w:vAlign w:val="center"/>
          </w:tcPr>
          <w:p>
            <w:r>
              <w:rPr>
                <w:b/>
                <w:bCs/>
                <w:color w:val="FFFFFF"/>
                <w:sz w:val="20"/>
                <w:szCs w:val="20"/>
              </w:rPr>
              <w:t xml:space="preserve">Missing Records</w:t>
            </w:r>
          </w:p>
        </w:tc>
        <w:tc>
          <w:tcPr>
            <w:tcW w:type="dxa" w:w="2900"/>
            <w:shd w:fill="1F3864" w:val="clear"/>
            <w:tcMar>
              <w:top w:type="dxa" w:w="100"/>
              <w:left w:type="dxa" w:w="120"/>
              <w:bottom w:type="dxa" w:w="100"/>
              <w:right w:type="dxa" w:w="120"/>
            </w:tcMar>
            <w:vAlign w:val="center"/>
          </w:tcPr>
          <w:p>
            <w:r>
              <w:rPr>
                <w:b/>
                <w:bCs/>
                <w:color w:val="FFFFFF"/>
                <w:sz w:val="20"/>
                <w:szCs w:val="20"/>
              </w:rPr>
              <w:t xml:space="preserve">Missing %</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order_delivered_customer_date</w:t>
            </w:r>
          </w:p>
        </w:tc>
        <w:tc>
          <w:tcPr>
            <w:tcW w:type="dxa" w:w="2900"/>
            <w:tcMar>
              <w:top w:type="dxa" w:w="100"/>
              <w:left w:type="dxa" w:w="120"/>
              <w:bottom w:type="dxa" w:w="100"/>
              <w:right w:type="dxa" w:w="120"/>
            </w:tcMar>
            <w:vAlign w:val="center"/>
          </w:tcPr>
          <w:p>
            <w:r>
              <w:rPr>
                <w:b w:val="false"/>
                <w:bCs w:val="false"/>
                <w:color w:val="000000"/>
                <w:sz w:val="20"/>
                <w:szCs w:val="20"/>
              </w:rPr>
              <w:t xml:space="preserve">2,454</w:t>
            </w:r>
          </w:p>
        </w:tc>
        <w:tc>
          <w:tcPr>
            <w:tcW w:type="dxa" w:w="2900"/>
            <w:tcMar>
              <w:top w:type="dxa" w:w="100"/>
              <w:left w:type="dxa" w:w="120"/>
              <w:bottom w:type="dxa" w:w="100"/>
              <w:right w:type="dxa" w:w="120"/>
            </w:tcMar>
            <w:vAlign w:val="center"/>
          </w:tcPr>
          <w:p>
            <w:r>
              <w:rPr>
                <w:b w:val="false"/>
                <w:bCs w:val="false"/>
                <w:color w:val="000000"/>
                <w:sz w:val="20"/>
                <w:szCs w:val="20"/>
              </w:rPr>
              <w:t xml:space="preserve">2.18%</w:t>
            </w:r>
          </w:p>
        </w:tc>
      </w:tr>
      <w:tr>
        <w:tc>
          <w:tcPr>
            <w:tcW w:type="dxa" w:w="4200"/>
            <w:shd w:fill="EDF2F7" w:val="clear"/>
            <w:tcMar>
              <w:top w:type="dxa" w:w="100"/>
              <w:left w:type="dxa" w:w="120"/>
              <w:bottom w:type="dxa" w:w="100"/>
              <w:right w:type="dxa" w:w="120"/>
            </w:tcMar>
            <w:vAlign w:val="center"/>
          </w:tcPr>
          <w:p>
            <w:r>
              <w:rPr>
                <w:b w:val="false"/>
                <w:bCs w:val="false"/>
                <w:color w:val="000000"/>
                <w:sz w:val="20"/>
                <w:szCs w:val="20"/>
              </w:rPr>
              <w:t xml:space="preserve">delivery_days / delivery_days_capped / delivery_delay_days</w:t>
            </w:r>
          </w:p>
        </w:tc>
        <w:tc>
          <w:tcPr>
            <w:tcW w:type="dxa" w:w="2900"/>
            <w:shd w:fill="EDF2F7" w:val="clear"/>
            <w:tcMar>
              <w:top w:type="dxa" w:w="100"/>
              <w:left w:type="dxa" w:w="120"/>
              <w:bottom w:type="dxa" w:w="100"/>
              <w:right w:type="dxa" w:w="120"/>
            </w:tcMar>
            <w:vAlign w:val="center"/>
          </w:tcPr>
          <w:p>
            <w:r>
              <w:rPr>
                <w:b w:val="false"/>
                <w:bCs w:val="false"/>
                <w:color w:val="000000"/>
                <w:sz w:val="20"/>
                <w:szCs w:val="20"/>
              </w:rPr>
              <w:t xml:space="preserve">2,454</w:t>
            </w:r>
          </w:p>
        </w:tc>
        <w:tc>
          <w:tcPr>
            <w:tcW w:type="dxa" w:w="2900"/>
            <w:shd w:fill="EDF2F7" w:val="clear"/>
            <w:tcMar>
              <w:top w:type="dxa" w:w="100"/>
              <w:left w:type="dxa" w:w="120"/>
              <w:bottom w:type="dxa" w:w="100"/>
              <w:right w:type="dxa" w:w="120"/>
            </w:tcMar>
            <w:vAlign w:val="center"/>
          </w:tcPr>
          <w:p>
            <w:r>
              <w:rPr>
                <w:b w:val="false"/>
                <w:bCs w:val="false"/>
                <w:color w:val="000000"/>
                <w:sz w:val="20"/>
                <w:szCs w:val="20"/>
              </w:rPr>
              <w:t xml:space="preserve">2.18%</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carrier_transit_days</w:t>
            </w:r>
          </w:p>
        </w:tc>
        <w:tc>
          <w:tcPr>
            <w:tcW w:type="dxa" w:w="2900"/>
            <w:tcMar>
              <w:top w:type="dxa" w:w="100"/>
              <w:left w:type="dxa" w:w="120"/>
              <w:bottom w:type="dxa" w:w="100"/>
              <w:right w:type="dxa" w:w="120"/>
            </w:tcMar>
            <w:vAlign w:val="center"/>
          </w:tcPr>
          <w:p>
            <w:r>
              <w:rPr>
                <w:b w:val="false"/>
                <w:bCs w:val="false"/>
                <w:color w:val="000000"/>
                <w:sz w:val="20"/>
                <w:szCs w:val="20"/>
              </w:rPr>
              <w:t xml:space="preserve">2,455</w:t>
            </w:r>
          </w:p>
        </w:tc>
        <w:tc>
          <w:tcPr>
            <w:tcW w:type="dxa" w:w="2900"/>
            <w:tcMar>
              <w:top w:type="dxa" w:w="100"/>
              <w:left w:type="dxa" w:w="120"/>
              <w:bottom w:type="dxa" w:w="100"/>
              <w:right w:type="dxa" w:w="120"/>
            </w:tcMar>
            <w:vAlign w:val="center"/>
          </w:tcPr>
          <w:p>
            <w:r>
              <w:rPr>
                <w:b w:val="false"/>
                <w:bCs w:val="false"/>
                <w:color w:val="000000"/>
                <w:sz w:val="20"/>
                <w:szCs w:val="20"/>
              </w:rPr>
              <w:t xml:space="preserve">2.18%</w:t>
            </w:r>
          </w:p>
        </w:tc>
      </w:tr>
    </w:tbl>
    <w:p>
      <w:pPr>
        <w:spacing w:after="160"/>
      </w:pPr>
      <w:r>
        <w:t xml:space="preserve">Beyond simple missingness, three genuine data-quality anomalies were found by range-checking rather than just counting nulls — exactly the kind of issue a superficial review misses:</w:t>
      </w:r>
    </w:p>
    <w:p>
      <w:pPr>
        <w:pStyle w:val="ListParagraph"/>
        <w:numPr>
          <w:ilvl w:val="0"/>
          <w:numId w:val="1"/>
        </w:numPr>
        <w:spacing w:after="80"/>
      </w:pPr>
      <w:r>
        <w:t xml:space="preserve">50 records have a negative carrier_transit_days (as low as −5.69 days) — a physical impossibility, most likely caused by a data-entry or timestamp-ordering error upstream (e.g., a delivered_customer_date recorded before the corresponding carrier pickup event). These were excluded from modeling.</w:t>
      </w:r>
    </w:p>
    <w:p>
      <w:pPr>
        <w:pStyle w:val="ListParagraph"/>
        <w:numPr>
          <w:ilvl w:val="0"/>
          <w:numId w:val="1"/>
        </w:numPr>
        <w:spacing w:after="80"/>
      </w:pPr>
      <w:r>
        <w:t xml:space="preserve">8 records have product_weight_g = 0, which is not physically meaningful for a shipped parcel and was treated as missing/excluded.</w:t>
      </w:r>
    </w:p>
    <w:p>
      <w:pPr>
        <w:pStyle w:val="ListParagraph"/>
        <w:numPr>
          <w:ilvl w:val="0"/>
          <w:numId w:val="1"/>
        </w:numPr>
        <w:spacing w:after="80"/>
      </w:pPr>
      <w:r>
        <w:t xml:space="preserve">383 records (0.34%) have freight_value = $0.00, plausible for a small number of free-shipping promotions but worth spot-checking against promotion records before being treated as routine.</w:t>
      </w:r>
    </w:p>
    <w:p>
      <w:pPr>
        <w:pStyle w:val="ListParagraph"/>
        <w:numPr>
          <w:ilvl w:val="0"/>
          <w:numId w:val="1"/>
        </w:numPr>
        <w:spacing w:after="80"/>
      </w:pPr>
      <w:r>
        <w:t xml:space="preserve">2,112 records (1.875%) are flagged by the existing freight_outlier indicator (values far outside the typical range for their shipment profile) and were retained but treated with caution in the freight-value analysis in Section 4.</w:t>
      </w:r>
    </w:p>
    <w:p>
      <w:pPr>
        <w:spacing w:after="160"/>
      </w:pPr>
      <w:r>
        <w:t xml:space="preserve">After removing delivered-but-unresolved rows, the negative-transit-time rows, and the zero-weight rows, 110,115 of the original 112,635 records (97.8%) remained usable for modeling — a clean-data loss of only 0.06% on top of the expected 2.18% non-delivered exclusion, which is a strong completeness rate for a real-world logistics extract.</w:t>
      </w:r>
    </w:p>
    <w:p>
      <w:pPr>
        <w:pStyle w:val="Heading2"/>
        <w:spacing w:after="120" w:before="260"/>
      </w:pPr>
      <w:r>
        <w:t xml:space="preserve">Why delivery_days_capped, not delivery_days</w:t>
      </w:r>
    </w:p>
    <w:p>
      <w:pPr>
        <w:spacing w:after="160"/>
      </w:pPr>
      <w:r>
        <w:t xml:space="preserve">The raw delivery_days field ranges from 0.53 to 209.6 days (mean 12.47, std 9.45) — the long tail is driven by a small number of genuinely exceptional shipments (7.4% of delivered orders were capped). delivery_days_capped truncates this at roughly the 95th percentile (28.75 days), which is the target used for all modeling in this report so that a handful of extreme outliers do not dominate the loss function; Section 14 discusses modeling the uncapped tail separately as a distinct risk problem.</w:t>
      </w:r>
    </w:p>
    <w:p>
      <w:pPr>
        <w:pStyle w:val="Heading1"/>
        <w:pageBreakBefore/>
        <w:spacing w:after="160" w:before="360"/>
      </w:pPr>
      <w:r>
        <w:t xml:space="preserve">4. Exploratory Data Analysis</w:t>
      </w:r>
    </w:p>
    <w:p>
      <w:pPr>
        <w:pStyle w:val="Heading2"/>
        <w:spacing w:after="120" w:before="260"/>
      </w:pPr>
      <w:r>
        <w:t xml:space="preserve">Distribution Summary (raw values, all delivered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60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Variable</w:t>
            </w:r>
          </w:p>
        </w:tc>
        <w:tc>
          <w:tcPr>
            <w:tcW w:type="dxa" w:w="1400"/>
            <w:shd w:fill="1F3864" w:val="clear"/>
            <w:tcMar>
              <w:top w:type="dxa" w:w="100"/>
              <w:left w:type="dxa" w:w="120"/>
              <w:bottom w:type="dxa" w:w="100"/>
              <w:right w:type="dxa" w:w="120"/>
            </w:tcMar>
            <w:vAlign w:val="center"/>
          </w:tcPr>
          <w:p>
            <w:r>
              <w:rPr>
                <w:b/>
                <w:bCs/>
                <w:color w:val="FFFFFF"/>
                <w:sz w:val="20"/>
                <w:szCs w:val="20"/>
              </w:rPr>
              <w:t xml:space="preserve">Mean</w:t>
            </w:r>
          </w:p>
        </w:tc>
        <w:tc>
          <w:tcPr>
            <w:tcW w:type="dxa" w:w="1400"/>
            <w:shd w:fill="1F3864" w:val="clear"/>
            <w:tcMar>
              <w:top w:type="dxa" w:w="100"/>
              <w:left w:type="dxa" w:w="120"/>
              <w:bottom w:type="dxa" w:w="100"/>
              <w:right w:type="dxa" w:w="120"/>
            </w:tcMar>
            <w:vAlign w:val="center"/>
          </w:tcPr>
          <w:p>
            <w:r>
              <w:rPr>
                <w:b/>
                <w:bCs/>
                <w:color w:val="FFFFFF"/>
                <w:sz w:val="20"/>
                <w:szCs w:val="20"/>
              </w:rPr>
              <w:t xml:space="preserve">Std Dev</w:t>
            </w:r>
          </w:p>
        </w:tc>
        <w:tc>
          <w:tcPr>
            <w:tcW w:type="dxa" w:w="1400"/>
            <w:shd w:fill="1F3864" w:val="clear"/>
            <w:tcMar>
              <w:top w:type="dxa" w:w="100"/>
              <w:left w:type="dxa" w:w="120"/>
              <w:bottom w:type="dxa" w:w="100"/>
              <w:right w:type="dxa" w:w="120"/>
            </w:tcMar>
            <w:vAlign w:val="center"/>
          </w:tcPr>
          <w:p>
            <w:r>
              <w:rPr>
                <w:b/>
                <w:bCs/>
                <w:color w:val="FFFFFF"/>
                <w:sz w:val="20"/>
                <w:szCs w:val="20"/>
              </w:rPr>
              <w:t xml:space="preserve">Median</w:t>
            </w:r>
          </w:p>
        </w:tc>
        <w:tc>
          <w:tcPr>
            <w:tcW w:type="dxa" w:w="1400"/>
            <w:shd w:fill="1F3864" w:val="clear"/>
            <w:tcMar>
              <w:top w:type="dxa" w:w="100"/>
              <w:left w:type="dxa" w:w="120"/>
              <w:bottom w:type="dxa" w:w="100"/>
              <w:right w:type="dxa" w:w="120"/>
            </w:tcMar>
            <w:vAlign w:val="center"/>
          </w:tcPr>
          <w:p>
            <w:r>
              <w:rPr>
                <w:b/>
                <w:bCs/>
                <w:color w:val="FFFFFF"/>
                <w:sz w:val="20"/>
                <w:szCs w:val="20"/>
              </w:rPr>
              <w:t xml:space="preserve">Min</w:t>
            </w:r>
          </w:p>
        </w:tc>
        <w:tc>
          <w:tcPr>
            <w:tcW w:type="dxa" w:w="1600"/>
            <w:shd w:fill="1F3864" w:val="clear"/>
            <w:tcMar>
              <w:top w:type="dxa" w:w="100"/>
              <w:left w:type="dxa" w:w="120"/>
              <w:bottom w:type="dxa" w:w="100"/>
              <w:right w:type="dxa" w:w="120"/>
            </w:tcMar>
            <w:vAlign w:val="center"/>
          </w:tcPr>
          <w:p>
            <w:r>
              <w:rPr>
                <w:b/>
                <w:bCs/>
                <w:color w:val="FFFFFF"/>
                <w:sz w:val="20"/>
                <w:szCs w:val="20"/>
              </w:rPr>
              <w:t xml:space="preserve">Max</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delivery_days (raw)</w:t>
            </w:r>
          </w:p>
        </w:tc>
        <w:tc>
          <w:tcPr>
            <w:tcW w:type="dxa" w:w="1400"/>
            <w:tcMar>
              <w:top w:type="dxa" w:w="100"/>
              <w:left w:type="dxa" w:w="120"/>
              <w:bottom w:type="dxa" w:w="100"/>
              <w:right w:type="dxa" w:w="120"/>
            </w:tcMar>
            <w:vAlign w:val="center"/>
          </w:tcPr>
          <w:p>
            <w:r>
              <w:rPr>
                <w:b w:val="false"/>
                <w:bCs w:val="false"/>
                <w:color w:val="000000"/>
                <w:sz w:val="20"/>
                <w:szCs w:val="20"/>
              </w:rPr>
              <w:t xml:space="preserve">12.47</w:t>
            </w:r>
          </w:p>
        </w:tc>
        <w:tc>
          <w:tcPr>
            <w:tcW w:type="dxa" w:w="1400"/>
            <w:tcMar>
              <w:top w:type="dxa" w:w="100"/>
              <w:left w:type="dxa" w:w="120"/>
              <w:bottom w:type="dxa" w:w="100"/>
              <w:right w:type="dxa" w:w="120"/>
            </w:tcMar>
            <w:vAlign w:val="center"/>
          </w:tcPr>
          <w:p>
            <w:r>
              <w:rPr>
                <w:b w:val="false"/>
                <w:bCs w:val="false"/>
                <w:color w:val="000000"/>
                <w:sz w:val="20"/>
                <w:szCs w:val="20"/>
              </w:rPr>
              <w:t xml:space="preserve">9.45</w:t>
            </w:r>
          </w:p>
        </w:tc>
        <w:tc>
          <w:tcPr>
            <w:tcW w:type="dxa" w:w="1400"/>
            <w:tcMar>
              <w:top w:type="dxa" w:w="100"/>
              <w:left w:type="dxa" w:w="120"/>
              <w:bottom w:type="dxa" w:w="100"/>
              <w:right w:type="dxa" w:w="120"/>
            </w:tcMar>
            <w:vAlign w:val="center"/>
          </w:tcPr>
          <w:p>
            <w:r>
              <w:rPr>
                <w:b w:val="false"/>
                <w:bCs w:val="false"/>
                <w:color w:val="000000"/>
                <w:sz w:val="20"/>
                <w:szCs w:val="20"/>
              </w:rPr>
              <w:t xml:space="preserve">10.18</w:t>
            </w:r>
          </w:p>
        </w:tc>
        <w:tc>
          <w:tcPr>
            <w:tcW w:type="dxa" w:w="1400"/>
            <w:tcMar>
              <w:top w:type="dxa" w:w="100"/>
              <w:left w:type="dxa" w:w="120"/>
              <w:bottom w:type="dxa" w:w="100"/>
              <w:right w:type="dxa" w:w="120"/>
            </w:tcMar>
            <w:vAlign w:val="center"/>
          </w:tcPr>
          <w:p>
            <w:r>
              <w:rPr>
                <w:b w:val="false"/>
                <w:bCs w:val="false"/>
                <w:color w:val="000000"/>
                <w:sz w:val="20"/>
                <w:szCs w:val="20"/>
              </w:rPr>
              <w:t xml:space="preserve">0.53</w:t>
            </w:r>
          </w:p>
        </w:tc>
        <w:tc>
          <w:tcPr>
            <w:tcW w:type="dxa" w:w="1600"/>
            <w:tcMar>
              <w:top w:type="dxa" w:w="100"/>
              <w:left w:type="dxa" w:w="120"/>
              <w:bottom w:type="dxa" w:w="100"/>
              <w:right w:type="dxa" w:w="120"/>
            </w:tcMar>
            <w:vAlign w:val="center"/>
          </w:tcPr>
          <w:p>
            <w:r>
              <w:rPr>
                <w:b w:val="false"/>
                <w:bCs w:val="false"/>
                <w:color w:val="000000"/>
                <w:sz w:val="20"/>
                <w:szCs w:val="20"/>
              </w:rPr>
              <w:t xml:space="preserve">209.63</w:t>
            </w:r>
          </w:p>
        </w:tc>
      </w:tr>
      <w:tr>
        <w:tc>
          <w:tcPr>
            <w:tcW w:type="dxa" w:w="2800"/>
            <w:shd w:fill="EDF2F7" w:val="clear"/>
            <w:tcMar>
              <w:top w:type="dxa" w:w="100"/>
              <w:left w:type="dxa" w:w="120"/>
              <w:bottom w:type="dxa" w:w="100"/>
              <w:right w:type="dxa" w:w="120"/>
            </w:tcMar>
            <w:vAlign w:val="center"/>
          </w:tcPr>
          <w:p>
            <w:r>
              <w:rPr>
                <w:b w:val="false"/>
                <w:bCs w:val="false"/>
                <w:color w:val="000000"/>
                <w:sz w:val="20"/>
                <w:szCs w:val="20"/>
              </w:rPr>
              <w:t xml:space="preserve">delivery_days_capped</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11.88</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7.05</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10.18</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0.53</w:t>
            </w:r>
          </w:p>
        </w:tc>
        <w:tc>
          <w:tcPr>
            <w:tcW w:type="dxa" w:w="1600"/>
            <w:shd w:fill="EDF2F7" w:val="clear"/>
            <w:tcMar>
              <w:top w:type="dxa" w:w="100"/>
              <w:left w:type="dxa" w:w="120"/>
              <w:bottom w:type="dxa" w:w="100"/>
              <w:right w:type="dxa" w:w="120"/>
            </w:tcMar>
            <w:vAlign w:val="center"/>
          </w:tcPr>
          <w:p>
            <w:r>
              <w:rPr>
                <w:b w:val="false"/>
                <w:bCs w:val="false"/>
                <w:color w:val="000000"/>
                <w:sz w:val="20"/>
                <w:szCs w:val="20"/>
              </w:rPr>
              <w:t xml:space="preserve">28.75</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price ($)</w:t>
            </w:r>
          </w:p>
        </w:tc>
        <w:tc>
          <w:tcPr>
            <w:tcW w:type="dxa" w:w="1400"/>
            <w:tcMar>
              <w:top w:type="dxa" w:w="100"/>
              <w:left w:type="dxa" w:w="120"/>
              <w:bottom w:type="dxa" w:w="100"/>
              <w:right w:type="dxa" w:w="120"/>
            </w:tcMar>
            <w:vAlign w:val="center"/>
          </w:tcPr>
          <w:p>
            <w:r>
              <w:rPr>
                <w:b w:val="false"/>
                <w:bCs w:val="false"/>
                <w:color w:val="000000"/>
                <w:sz w:val="20"/>
                <w:szCs w:val="20"/>
              </w:rPr>
              <w:t xml:space="preserve">120.65</w:t>
            </w:r>
          </w:p>
        </w:tc>
        <w:tc>
          <w:tcPr>
            <w:tcW w:type="dxa" w:w="1400"/>
            <w:tcMar>
              <w:top w:type="dxa" w:w="100"/>
              <w:left w:type="dxa" w:w="120"/>
              <w:bottom w:type="dxa" w:w="100"/>
              <w:right w:type="dxa" w:w="120"/>
            </w:tcMar>
            <w:vAlign w:val="center"/>
          </w:tcPr>
          <w:p>
            <w:r>
              <w:rPr>
                <w:b w:val="false"/>
                <w:bCs w:val="false"/>
                <w:color w:val="000000"/>
                <w:sz w:val="20"/>
                <w:szCs w:val="20"/>
              </w:rPr>
              <w:t xml:space="preserve">183.64</w:t>
            </w:r>
          </w:p>
        </w:tc>
        <w:tc>
          <w:tcPr>
            <w:tcW w:type="dxa" w:w="1400"/>
            <w:tcMar>
              <w:top w:type="dxa" w:w="100"/>
              <w:left w:type="dxa" w:w="120"/>
              <w:bottom w:type="dxa" w:w="100"/>
              <w:right w:type="dxa" w:w="120"/>
            </w:tcMar>
            <w:vAlign w:val="center"/>
          </w:tcPr>
          <w:p>
            <w:r>
              <w:rPr>
                <w:b w:val="false"/>
                <w:bCs w:val="false"/>
                <w:color w:val="000000"/>
                <w:sz w:val="20"/>
                <w:szCs w:val="20"/>
              </w:rPr>
              <w:t xml:space="preserve">74.99</w:t>
            </w:r>
          </w:p>
        </w:tc>
        <w:tc>
          <w:tcPr>
            <w:tcW w:type="dxa" w:w="1400"/>
            <w:tcMar>
              <w:top w:type="dxa" w:w="100"/>
              <w:left w:type="dxa" w:w="120"/>
              <w:bottom w:type="dxa" w:w="100"/>
              <w:right w:type="dxa" w:w="120"/>
            </w:tcMar>
            <w:vAlign w:val="center"/>
          </w:tcPr>
          <w:p>
            <w:r>
              <w:rPr>
                <w:b w:val="false"/>
                <w:bCs w:val="false"/>
                <w:color w:val="000000"/>
                <w:sz w:val="20"/>
                <w:szCs w:val="20"/>
              </w:rPr>
              <w:t xml:space="preserve">0.85</w:t>
            </w:r>
          </w:p>
        </w:tc>
        <w:tc>
          <w:tcPr>
            <w:tcW w:type="dxa" w:w="1600"/>
            <w:tcMar>
              <w:top w:type="dxa" w:w="100"/>
              <w:left w:type="dxa" w:w="120"/>
              <w:bottom w:type="dxa" w:w="100"/>
              <w:right w:type="dxa" w:w="120"/>
            </w:tcMar>
            <w:vAlign w:val="center"/>
          </w:tcPr>
          <w:p>
            <w:r>
              <w:rPr>
                <w:b w:val="false"/>
                <w:bCs w:val="false"/>
                <w:color w:val="000000"/>
                <w:sz w:val="20"/>
                <w:szCs w:val="20"/>
              </w:rPr>
              <w:t xml:space="preserve">6,735.00</w:t>
            </w:r>
          </w:p>
        </w:tc>
      </w:tr>
      <w:tr>
        <w:tc>
          <w:tcPr>
            <w:tcW w:type="dxa" w:w="2800"/>
            <w:shd w:fill="EDF2F7" w:val="clear"/>
            <w:tcMar>
              <w:top w:type="dxa" w:w="100"/>
              <w:left w:type="dxa" w:w="120"/>
              <w:bottom w:type="dxa" w:w="100"/>
              <w:right w:type="dxa" w:w="120"/>
            </w:tcMar>
            <w:vAlign w:val="center"/>
          </w:tcPr>
          <w:p>
            <w:r>
              <w:rPr>
                <w:b w:val="false"/>
                <w:bCs w:val="false"/>
                <w:color w:val="000000"/>
                <w:sz w:val="20"/>
                <w:szCs w:val="20"/>
              </w:rPr>
              <w:t xml:space="preserve">freight_value ($)</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19.99</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15.81</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16.26</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0.00</w:t>
            </w:r>
          </w:p>
        </w:tc>
        <w:tc>
          <w:tcPr>
            <w:tcW w:type="dxa" w:w="1600"/>
            <w:shd w:fill="EDF2F7" w:val="clear"/>
            <w:tcMar>
              <w:top w:type="dxa" w:w="100"/>
              <w:left w:type="dxa" w:w="120"/>
              <w:bottom w:type="dxa" w:w="100"/>
              <w:right w:type="dxa" w:w="120"/>
            </w:tcMar>
            <w:vAlign w:val="center"/>
          </w:tcPr>
          <w:p>
            <w:r>
              <w:rPr>
                <w:b w:val="false"/>
                <w:bCs w:val="false"/>
                <w:color w:val="000000"/>
                <w:sz w:val="20"/>
                <w:szCs w:val="20"/>
              </w:rPr>
              <w:t xml:space="preserve">409.68</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carrier_transit_days</w:t>
            </w:r>
          </w:p>
        </w:tc>
        <w:tc>
          <w:tcPr>
            <w:tcW w:type="dxa" w:w="1400"/>
            <w:tcMar>
              <w:top w:type="dxa" w:w="100"/>
              <w:left w:type="dxa" w:w="120"/>
              <w:bottom w:type="dxa" w:w="100"/>
              <w:right w:type="dxa" w:w="120"/>
            </w:tcMar>
            <w:vAlign w:val="center"/>
          </w:tcPr>
          <w:p>
            <w:r>
              <w:rPr>
                <w:b w:val="false"/>
                <w:bCs w:val="false"/>
                <w:color w:val="000000"/>
                <w:sz w:val="20"/>
                <w:szCs w:val="20"/>
              </w:rPr>
              <w:t xml:space="preserve">9.19</w:t>
            </w:r>
          </w:p>
        </w:tc>
        <w:tc>
          <w:tcPr>
            <w:tcW w:type="dxa" w:w="1400"/>
            <w:tcMar>
              <w:top w:type="dxa" w:w="100"/>
              <w:left w:type="dxa" w:w="120"/>
              <w:bottom w:type="dxa" w:w="100"/>
              <w:right w:type="dxa" w:w="120"/>
            </w:tcMar>
            <w:vAlign w:val="center"/>
          </w:tcPr>
          <w:p>
            <w:r>
              <w:rPr>
                <w:b w:val="false"/>
                <w:bCs w:val="false"/>
                <w:color w:val="000000"/>
                <w:sz w:val="20"/>
                <w:szCs w:val="20"/>
              </w:rPr>
              <w:t xml:space="preserve">8.63</w:t>
            </w:r>
          </w:p>
        </w:tc>
        <w:tc>
          <w:tcPr>
            <w:tcW w:type="dxa" w:w="1400"/>
            <w:tcMar>
              <w:top w:type="dxa" w:w="100"/>
              <w:left w:type="dxa" w:w="120"/>
              <w:bottom w:type="dxa" w:w="100"/>
              <w:right w:type="dxa" w:w="120"/>
            </w:tcMar>
            <w:vAlign w:val="center"/>
          </w:tcPr>
          <w:p>
            <w:r>
              <w:rPr>
                <w:b w:val="false"/>
                <w:bCs w:val="false"/>
                <w:color w:val="000000"/>
                <w:sz w:val="20"/>
                <w:szCs w:val="20"/>
              </w:rPr>
              <w:t xml:space="preserve">7.06</w:t>
            </w:r>
          </w:p>
        </w:tc>
        <w:tc>
          <w:tcPr>
            <w:tcW w:type="dxa" w:w="1400"/>
            <w:tcMar>
              <w:top w:type="dxa" w:w="100"/>
              <w:left w:type="dxa" w:w="120"/>
              <w:bottom w:type="dxa" w:w="100"/>
              <w:right w:type="dxa" w:w="120"/>
            </w:tcMar>
            <w:vAlign w:val="center"/>
          </w:tcPr>
          <w:p>
            <w:r>
              <w:rPr>
                <w:b w:val="false"/>
                <w:bCs w:val="false"/>
                <w:color w:val="000000"/>
                <w:sz w:val="20"/>
                <w:szCs w:val="20"/>
              </w:rPr>
              <w:t xml:space="preserve">−16.10</w:t>
            </w:r>
          </w:p>
        </w:tc>
        <w:tc>
          <w:tcPr>
            <w:tcW w:type="dxa" w:w="1600"/>
            <w:tcMar>
              <w:top w:type="dxa" w:w="100"/>
              <w:left w:type="dxa" w:w="120"/>
              <w:bottom w:type="dxa" w:w="100"/>
              <w:right w:type="dxa" w:w="120"/>
            </w:tcMar>
            <w:vAlign w:val="center"/>
          </w:tcPr>
          <w:p>
            <w:r>
              <w:rPr>
                <w:b w:val="false"/>
                <w:bCs w:val="false"/>
                <w:color w:val="000000"/>
                <w:sz w:val="20"/>
                <w:szCs w:val="20"/>
              </w:rPr>
              <w:t xml:space="preserve">205.19</w:t>
            </w:r>
          </w:p>
        </w:tc>
      </w:tr>
      <w:tr>
        <w:tc>
          <w:tcPr>
            <w:tcW w:type="dxa" w:w="2800"/>
            <w:shd w:fill="EDF2F7" w:val="clear"/>
            <w:tcMar>
              <w:top w:type="dxa" w:w="100"/>
              <w:left w:type="dxa" w:w="120"/>
              <w:bottom w:type="dxa" w:w="100"/>
              <w:right w:type="dxa" w:w="120"/>
            </w:tcMar>
            <w:vAlign w:val="center"/>
          </w:tcPr>
          <w:p>
            <w:r>
              <w:rPr>
                <w:b w:val="false"/>
                <w:bCs w:val="false"/>
                <w:color w:val="000000"/>
                <w:sz w:val="20"/>
                <w:szCs w:val="20"/>
              </w:rPr>
              <w:t xml:space="preserve">product_weight_g</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2,079.61</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3,731.28</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700</w:t>
            </w:r>
          </w:p>
        </w:tc>
        <w:tc>
          <w:tcPr>
            <w:tcW w:type="dxa" w:w="1400"/>
            <w:shd w:fill="EDF2F7" w:val="clear"/>
            <w:tcMar>
              <w:top w:type="dxa" w:w="100"/>
              <w:left w:type="dxa" w:w="120"/>
              <w:bottom w:type="dxa" w:w="100"/>
              <w:right w:type="dxa" w:w="120"/>
            </w:tcMar>
            <w:vAlign w:val="center"/>
          </w:tcPr>
          <w:p>
            <w:r>
              <w:rPr>
                <w:b w:val="false"/>
                <w:bCs w:val="false"/>
                <w:color w:val="000000"/>
                <w:sz w:val="20"/>
                <w:szCs w:val="20"/>
              </w:rPr>
              <w:t xml:space="preserve">0</w:t>
            </w:r>
          </w:p>
        </w:tc>
        <w:tc>
          <w:tcPr>
            <w:tcW w:type="dxa" w:w="1600"/>
            <w:shd w:fill="EDF2F7" w:val="clear"/>
            <w:tcMar>
              <w:top w:type="dxa" w:w="100"/>
              <w:left w:type="dxa" w:w="120"/>
              <w:bottom w:type="dxa" w:w="100"/>
              <w:right w:type="dxa" w:w="120"/>
            </w:tcMar>
            <w:vAlign w:val="center"/>
          </w:tcPr>
          <w:p>
            <w:r>
              <w:rPr>
                <w:b w:val="false"/>
                <w:bCs w:val="false"/>
                <w:color w:val="000000"/>
                <w:sz w:val="20"/>
                <w:szCs w:val="20"/>
              </w:rPr>
              <w:t xml:space="preserve">40,425</w:t>
            </w:r>
          </w:p>
        </w:tc>
      </w:tr>
    </w:tbl>
    <w:p>
      <w:pPr>
        <w:pStyle w:val="Heading2"/>
        <w:spacing w:after="120" w:before="260"/>
      </w:pPr>
      <w:r>
        <w:t xml:space="preserve">Correlation with the Target (delivery_days)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3864" w:val="clear"/>
            <w:tcMar>
              <w:top w:type="dxa" w:w="100"/>
              <w:left w:type="dxa" w:w="120"/>
              <w:bottom w:type="dxa" w:w="100"/>
              <w:right w:type="dxa" w:w="120"/>
            </w:tcMar>
            <w:vAlign w:val="center"/>
          </w:tcPr>
          <w:p>
            <w:r>
              <w:rPr>
                <w:b/>
                <w:bCs/>
                <w:color w:val="FFFFFF"/>
                <w:sz w:val="20"/>
                <w:szCs w:val="20"/>
              </w:rPr>
              <w:t xml:space="preserve">Feature</w:t>
            </w:r>
          </w:p>
        </w:tc>
        <w:tc>
          <w:tcPr>
            <w:tcW w:type="dxa" w:w="3500"/>
            <w:shd w:fill="1F3864" w:val="clear"/>
            <w:tcMar>
              <w:top w:type="dxa" w:w="100"/>
              <w:left w:type="dxa" w:w="120"/>
              <w:bottom w:type="dxa" w:w="100"/>
              <w:right w:type="dxa" w:w="120"/>
            </w:tcMar>
            <w:vAlign w:val="center"/>
          </w:tcPr>
          <w:p>
            <w:r>
              <w:rPr>
                <w:b/>
                <w:bCs/>
                <w:color w:val="FFFFFF"/>
                <w:sz w:val="20"/>
                <w:szCs w:val="20"/>
              </w:rPr>
              <w:t xml:space="preserve">Pearson r with delivery_days</w:t>
            </w:r>
          </w:p>
        </w:tc>
      </w:tr>
      <w:tr>
        <w:tc>
          <w:tcPr>
            <w:tcW w:type="dxa" w:w="5500"/>
            <w:tcMar>
              <w:top w:type="dxa" w:w="100"/>
              <w:left w:type="dxa" w:w="120"/>
              <w:bottom w:type="dxa" w:w="100"/>
              <w:right w:type="dxa" w:w="120"/>
            </w:tcMar>
            <w:vAlign w:val="center"/>
          </w:tcPr>
          <w:p>
            <w:r>
              <w:rPr>
                <w:b w:val="false"/>
                <w:bCs w:val="false"/>
                <w:color w:val="000000"/>
                <w:sz w:val="20"/>
                <w:szCs w:val="20"/>
              </w:rPr>
              <w:t xml:space="preserve">carrier_transit_days</w:t>
            </w:r>
          </w:p>
        </w:tc>
        <w:tc>
          <w:tcPr>
            <w:tcW w:type="dxa" w:w="3500"/>
            <w:tcMar>
              <w:top w:type="dxa" w:w="100"/>
              <w:left w:type="dxa" w:w="120"/>
              <w:bottom w:type="dxa" w:w="100"/>
              <w:right w:type="dxa" w:w="120"/>
            </w:tcMar>
            <w:vAlign w:val="center"/>
          </w:tcPr>
          <w:p>
            <w:r>
              <w:rPr>
                <w:b w:val="false"/>
                <w:bCs w:val="false"/>
                <w:color w:val="000000"/>
                <w:sz w:val="20"/>
                <w:szCs w:val="20"/>
              </w:rPr>
              <w:t xml:space="preserve">0.922</w:t>
            </w:r>
          </w:p>
        </w:tc>
      </w:tr>
      <w:tr>
        <w:tc>
          <w:tcPr>
            <w:tcW w:type="dxa" w:w="5500"/>
            <w:shd w:fill="EDF2F7" w:val="clear"/>
            <w:tcMar>
              <w:top w:type="dxa" w:w="100"/>
              <w:left w:type="dxa" w:w="120"/>
              <w:bottom w:type="dxa" w:w="100"/>
              <w:right w:type="dxa" w:w="120"/>
            </w:tcMar>
            <w:vAlign w:val="center"/>
          </w:tcPr>
          <w:p>
            <w:r>
              <w:rPr>
                <w:b w:val="false"/>
                <w:bCs w:val="false"/>
                <w:color w:val="000000"/>
                <w:sz w:val="20"/>
                <w:szCs w:val="20"/>
              </w:rPr>
              <w:t xml:space="preserve">same_state (customer_state = seller_state)</w:t>
            </w:r>
          </w:p>
        </w:tc>
        <w:tc>
          <w:tcPr>
            <w:tcW w:type="dxa" w:w="3500"/>
            <w:shd w:fill="EDF2F7" w:val="clear"/>
            <w:tcMar>
              <w:top w:type="dxa" w:w="100"/>
              <w:left w:type="dxa" w:w="120"/>
              <w:bottom w:type="dxa" w:w="100"/>
              <w:right w:type="dxa" w:w="120"/>
            </w:tcMar>
            <w:vAlign w:val="center"/>
          </w:tcPr>
          <w:p>
            <w:r>
              <w:rPr>
                <w:b w:val="false"/>
                <w:bCs w:val="false"/>
                <w:color w:val="000000"/>
                <w:sz w:val="20"/>
                <w:szCs w:val="20"/>
              </w:rPr>
              <w:t xml:space="preserve">−0.362</w:t>
            </w:r>
          </w:p>
        </w:tc>
      </w:tr>
      <w:tr>
        <w:tc>
          <w:tcPr>
            <w:tcW w:type="dxa" w:w="5500"/>
            <w:tcMar>
              <w:top w:type="dxa" w:w="100"/>
              <w:left w:type="dxa" w:w="120"/>
              <w:bottom w:type="dxa" w:w="100"/>
              <w:right w:type="dxa" w:w="120"/>
            </w:tcMar>
            <w:vAlign w:val="center"/>
          </w:tcPr>
          <w:p>
            <w:r>
              <w:rPr>
                <w:b w:val="false"/>
                <w:bCs w:val="false"/>
                <w:color w:val="000000"/>
                <w:sz w:val="20"/>
                <w:szCs w:val="20"/>
              </w:rPr>
              <w:t xml:space="preserve">freight_value</w:t>
            </w:r>
          </w:p>
        </w:tc>
        <w:tc>
          <w:tcPr>
            <w:tcW w:type="dxa" w:w="3500"/>
            <w:tcMar>
              <w:top w:type="dxa" w:w="100"/>
              <w:left w:type="dxa" w:w="120"/>
              <w:bottom w:type="dxa" w:w="100"/>
              <w:right w:type="dxa" w:w="120"/>
            </w:tcMar>
            <w:vAlign w:val="center"/>
          </w:tcPr>
          <w:p>
            <w:r>
              <w:rPr>
                <w:b w:val="false"/>
                <w:bCs w:val="false"/>
                <w:color w:val="000000"/>
                <w:sz w:val="20"/>
                <w:szCs w:val="20"/>
              </w:rPr>
              <w:t xml:space="preserve">0.215</w:t>
            </w:r>
          </w:p>
        </w:tc>
      </w:tr>
      <w:tr>
        <w:tc>
          <w:tcPr>
            <w:tcW w:type="dxa" w:w="5500"/>
            <w:shd w:fill="EDF2F7" w:val="clear"/>
            <w:tcMar>
              <w:top w:type="dxa" w:w="100"/>
              <w:left w:type="dxa" w:w="120"/>
              <w:bottom w:type="dxa" w:w="100"/>
              <w:right w:type="dxa" w:w="120"/>
            </w:tcMar>
            <w:vAlign w:val="center"/>
          </w:tcPr>
          <w:p>
            <w:r>
              <w:rPr>
                <w:b w:val="false"/>
                <w:bCs w:val="false"/>
                <w:color w:val="000000"/>
                <w:sz w:val="20"/>
                <w:szCs w:val="20"/>
              </w:rPr>
              <w:t xml:space="preserve">product_weight_g</w:t>
            </w:r>
          </w:p>
        </w:tc>
        <w:tc>
          <w:tcPr>
            <w:tcW w:type="dxa" w:w="3500"/>
            <w:shd w:fill="EDF2F7" w:val="clear"/>
            <w:tcMar>
              <w:top w:type="dxa" w:w="100"/>
              <w:left w:type="dxa" w:w="120"/>
              <w:bottom w:type="dxa" w:w="100"/>
              <w:right w:type="dxa" w:w="120"/>
            </w:tcMar>
            <w:vAlign w:val="center"/>
          </w:tcPr>
          <w:p>
            <w:r>
              <w:rPr>
                <w:b w:val="false"/>
                <w:bCs w:val="false"/>
                <w:color w:val="000000"/>
                <w:sz w:val="20"/>
                <w:szCs w:val="20"/>
              </w:rPr>
              <w:t xml:space="preserve">0.086</w:t>
            </w:r>
          </w:p>
        </w:tc>
      </w:tr>
      <w:tr>
        <w:tc>
          <w:tcPr>
            <w:tcW w:type="dxa" w:w="5500"/>
            <w:tcMar>
              <w:top w:type="dxa" w:w="100"/>
              <w:left w:type="dxa" w:w="120"/>
              <w:bottom w:type="dxa" w:w="100"/>
              <w:right w:type="dxa" w:w="120"/>
            </w:tcMar>
            <w:vAlign w:val="center"/>
          </w:tcPr>
          <w:p>
            <w:r>
              <w:rPr>
                <w:b w:val="false"/>
                <w:bCs w:val="false"/>
                <w:color w:val="000000"/>
                <w:sz w:val="20"/>
                <w:szCs w:val="20"/>
              </w:rPr>
              <w:t xml:space="preserve">product_length_cm</w:t>
            </w:r>
          </w:p>
        </w:tc>
        <w:tc>
          <w:tcPr>
            <w:tcW w:type="dxa" w:w="3500"/>
            <w:tcMar>
              <w:top w:type="dxa" w:w="100"/>
              <w:left w:type="dxa" w:w="120"/>
              <w:bottom w:type="dxa" w:w="100"/>
              <w:right w:type="dxa" w:w="120"/>
            </w:tcMar>
            <w:vAlign w:val="center"/>
          </w:tcPr>
          <w:p>
            <w:r>
              <w:rPr>
                <w:b w:val="false"/>
                <w:bCs w:val="false"/>
                <w:color w:val="000000"/>
                <w:sz w:val="20"/>
                <w:szCs w:val="20"/>
              </w:rPr>
              <w:t xml:space="preserve">0.069</w:t>
            </w:r>
          </w:p>
        </w:tc>
      </w:tr>
      <w:tr>
        <w:tc>
          <w:tcPr>
            <w:tcW w:type="dxa" w:w="5500"/>
            <w:shd w:fill="EDF2F7" w:val="clear"/>
            <w:tcMar>
              <w:top w:type="dxa" w:w="100"/>
              <w:left w:type="dxa" w:w="120"/>
              <w:bottom w:type="dxa" w:w="100"/>
              <w:right w:type="dxa" w:w="120"/>
            </w:tcMar>
            <w:vAlign w:val="center"/>
          </w:tcPr>
          <w:p>
            <w:r>
              <w:rPr>
                <w:b w:val="false"/>
                <w:bCs w:val="false"/>
                <w:color w:val="000000"/>
                <w:sz w:val="20"/>
                <w:szCs w:val="20"/>
              </w:rPr>
              <w:t xml:space="preserve">product_height_cm</w:t>
            </w:r>
          </w:p>
        </w:tc>
        <w:tc>
          <w:tcPr>
            <w:tcW w:type="dxa" w:w="3500"/>
            <w:shd w:fill="EDF2F7" w:val="clear"/>
            <w:tcMar>
              <w:top w:type="dxa" w:w="100"/>
              <w:left w:type="dxa" w:w="120"/>
              <w:bottom w:type="dxa" w:w="100"/>
              <w:right w:type="dxa" w:w="120"/>
            </w:tcMar>
            <w:vAlign w:val="center"/>
          </w:tcPr>
          <w:p>
            <w:r>
              <w:rPr>
                <w:b w:val="false"/>
                <w:bCs w:val="false"/>
                <w:color w:val="000000"/>
                <w:sz w:val="20"/>
                <w:szCs w:val="20"/>
              </w:rPr>
              <w:t xml:space="preserve">0.067</w:t>
            </w:r>
          </w:p>
        </w:tc>
      </w:tr>
      <w:tr>
        <w:tc>
          <w:tcPr>
            <w:tcW w:type="dxa" w:w="5500"/>
            <w:tcMar>
              <w:top w:type="dxa" w:w="100"/>
              <w:left w:type="dxa" w:w="120"/>
              <w:bottom w:type="dxa" w:w="100"/>
              <w:right w:type="dxa" w:w="120"/>
            </w:tcMar>
            <w:vAlign w:val="center"/>
          </w:tcPr>
          <w:p>
            <w:r>
              <w:rPr>
                <w:b w:val="false"/>
                <w:bCs w:val="false"/>
                <w:color w:val="000000"/>
                <w:sz w:val="20"/>
                <w:szCs w:val="20"/>
              </w:rPr>
              <w:t xml:space="preserve">price</w:t>
            </w:r>
          </w:p>
        </w:tc>
        <w:tc>
          <w:tcPr>
            <w:tcW w:type="dxa" w:w="3500"/>
            <w:tcMar>
              <w:top w:type="dxa" w:w="100"/>
              <w:left w:type="dxa" w:w="120"/>
              <w:bottom w:type="dxa" w:w="100"/>
              <w:right w:type="dxa" w:w="120"/>
            </w:tcMar>
            <w:vAlign w:val="center"/>
          </w:tcPr>
          <w:p>
            <w:r>
              <w:rPr>
                <w:b w:val="false"/>
                <w:bCs w:val="false"/>
                <w:color w:val="000000"/>
                <w:sz w:val="20"/>
                <w:szCs w:val="20"/>
              </w:rPr>
              <w:t xml:space="preserve">0.062</w:t>
            </w:r>
          </w:p>
        </w:tc>
      </w:tr>
      <w:tr>
        <w:tc>
          <w:tcPr>
            <w:tcW w:type="dxa" w:w="5500"/>
            <w:shd w:fill="EDF2F7" w:val="clear"/>
            <w:tcMar>
              <w:top w:type="dxa" w:w="100"/>
              <w:left w:type="dxa" w:w="120"/>
              <w:bottom w:type="dxa" w:w="100"/>
              <w:right w:type="dxa" w:w="120"/>
            </w:tcMar>
            <w:vAlign w:val="center"/>
          </w:tcPr>
          <w:p>
            <w:r>
              <w:rPr>
                <w:b w:val="false"/>
                <w:bCs w:val="false"/>
                <w:color w:val="000000"/>
                <w:sz w:val="20"/>
                <w:szCs w:val="20"/>
              </w:rPr>
              <w:t xml:space="preserve">product_width_cm</w:t>
            </w:r>
          </w:p>
        </w:tc>
        <w:tc>
          <w:tcPr>
            <w:tcW w:type="dxa" w:w="3500"/>
            <w:shd w:fill="EDF2F7" w:val="clear"/>
            <w:tcMar>
              <w:top w:type="dxa" w:w="100"/>
              <w:left w:type="dxa" w:w="120"/>
              <w:bottom w:type="dxa" w:w="100"/>
              <w:right w:type="dxa" w:w="120"/>
            </w:tcMar>
            <w:vAlign w:val="center"/>
          </w:tcPr>
          <w:p>
            <w:r>
              <w:rPr>
                <w:b w:val="false"/>
                <w:bCs w:val="false"/>
                <w:color w:val="000000"/>
                <w:sz w:val="20"/>
                <w:szCs w:val="20"/>
              </w:rPr>
              <w:t xml:space="preserve">0.040</w:t>
            </w:r>
          </w:p>
        </w:tc>
      </w:tr>
    </w:tbl>
    <w:p>
      <w:pPr>
        <w:spacing w:after="160"/>
      </w:pPr>
      <w:r>
        <w:t xml:space="preserve">carrier_transit_days is overwhelmingly the strongest correlate of delivery time (r = 0.922), far ahead of everything else — this single relationship anchors the entire modeling and optimization strategy that follows. same_state is the second-strongest signal, and its negative sign is intuitive: intra-state shipments are consistently faster. freight_value shows a real, moderate positive correlation (r = 0.215) — more expensive-to-ship parcels genuinely take longer, likely because freight cost itself partly reflects distance and handling complexity. Product weight, dimensions, and price are all weakly correlated individually (|r| &lt; 0.09), which foreshadows the feature-importance result in Section 10: product attributes matter far less than carrier and geography.</w:t>
      </w:r>
    </w:p>
    <w:p>
      <w:pPr>
        <w:spacing w:after="160"/>
      </w:pPr>
      <w:r>
        <w:t xml:space="preserve">Price and freight value are both strongly right-skewed (price mean $120.65 vs. median $74.99; a maximum of $6,735 against a 75th percentile of only $134.90), consistent with a small number of high-value orders. This skew is why StandardScaler alone (used in Section 5) is a reasonable but not perfect choice — a log-transform would be a natural next refinement, noted in Section 14.</w:t>
      </w:r>
    </w:p>
    <w:p>
      <w:pPr>
        <w:pStyle w:val="Heading1"/>
        <w:pageBreakBefore/>
        <w:spacing w:after="160" w:before="360"/>
      </w:pPr>
      <w:r>
        <w:t xml:space="preserve">5. Data Preparation</w:t>
      </w:r>
    </w:p>
    <w:p>
      <w:pPr>
        <w:spacing w:after="160"/>
      </w:pPr>
      <w:r>
        <w:t xml:space="preserve">Preparation followed the findings of Sections 3 and 4 directly: keep only resolved (delivered) orders, remove the specific data-quality anomalies identified above (not just null values), engineer a same_state flag, and build a preprocessing pipeline that scales numeric features and one-hot encodes categoricals inside a scikit-learn ColumnTransformer so train/test statistics never leak across the split.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import pandas as pd, numpy as np</w:t>
            </w:r>
          </w:p>
          <w:p>
            <w:pPr>
              <w:spacing w:after="20"/>
            </w:pPr>
            <w:r>
              <w:rPr>
                <w:rFonts w:ascii="Consolas" w:cs="Consolas" w:eastAsia="Consolas" w:hAnsi="Consolas"/>
                <w:color w:val="D4D4D4"/>
                <w:sz w:val="18"/>
                <w:szCs w:val="18"/>
              </w:rPr>
              <w:t xml:space="preserve">from sklearn.model_selection import train_test_split</w:t>
            </w:r>
          </w:p>
          <w:p>
            <w:pPr>
              <w:spacing w:after="20"/>
            </w:pPr>
            <w:r>
              <w:rPr>
                <w:rFonts w:ascii="Consolas" w:cs="Consolas" w:eastAsia="Consolas" w:hAnsi="Consolas"/>
                <w:color w:val="D4D4D4"/>
                <w:sz w:val="18"/>
                <w:szCs w:val="18"/>
              </w:rPr>
              <w:t xml:space="preserve">from sklearn.preprocessing import OneHotEncoder, StandardScaler</w:t>
            </w:r>
          </w:p>
          <w:p>
            <w:pPr>
              <w:spacing w:after="20"/>
            </w:pPr>
            <w:r>
              <w:rPr>
                <w:rFonts w:ascii="Consolas" w:cs="Consolas" w:eastAsia="Consolas" w:hAnsi="Consolas"/>
                <w:color w:val="D4D4D4"/>
                <w:sz w:val="18"/>
                <w:szCs w:val="18"/>
              </w:rPr>
              <w:t xml:space="preserve">from sklearn.compose import ColumnTransformer</w:t>
            </w:r>
          </w:p>
          <w:p>
            <w:pPr>
              <w:spacing w:after="20"/>
            </w:pPr>
            <w:r>
              <w:rPr>
                <w:rFonts w:ascii="Consolas" w:cs="Consolas" w:eastAsia="Consolas" w:hAnsi="Consolas"/>
                <w:color w:val="D4D4D4"/>
                <w:sz w:val="18"/>
                <w:szCs w:val="18"/>
              </w:rPr>
              <w:t xml:space="preserve">from sklearn.pipeline import Pipeline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df = pd.read_csv('logistics_clean.csv')</w:t>
            </w:r>
          </w:p>
          <w:p>
            <w:pPr>
              <w:spacing w:after="20"/>
            </w:pPr>
            <w:r>
              <w:rPr>
                <w:rFonts w:ascii="Consolas" w:cs="Consolas" w:eastAsia="Consolas" w:hAnsi="Consolas"/>
                <w:color w:val="D4D4D4"/>
                <w:sz w:val="18"/>
                <w:szCs w:val="18"/>
              </w:rPr>
              <w:t xml:space="preserve">df['same_state'] = (df['customer_state'] == df['seller_state']).astype(int)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1. Keep only completed deliveries (2.18% are not yet delivered)</w:t>
            </w:r>
          </w:p>
          <w:p>
            <w:pPr>
              <w:spacing w:after="20"/>
            </w:pPr>
            <w:r>
              <w:rPr>
                <w:rFonts w:ascii="Consolas" w:cs="Consolas" w:eastAsia="Consolas" w:hAnsi="Consolas"/>
                <w:color w:val="D4D4D4"/>
                <w:sz w:val="18"/>
                <w:szCs w:val="18"/>
              </w:rPr>
              <w:t xml:space="preserve">df_model = df[df['order_status'] == 'delivered'].copy()</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2. Drop rows with missing target/predictor values</w:t>
            </w:r>
          </w:p>
          <w:p>
            <w:pPr>
              <w:spacing w:after="20"/>
            </w:pPr>
            <w:r>
              <w:rPr>
                <w:rFonts w:ascii="Consolas" w:cs="Consolas" w:eastAsia="Consolas" w:hAnsi="Consolas"/>
                <w:color w:val="D4D4D4"/>
                <w:sz w:val="18"/>
                <w:szCs w:val="18"/>
              </w:rPr>
              <w:t xml:space="preserve">df_model = df_model.dropna(subset=['carrier_transit_days', 'delivery_days_capped'])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3. Remove physically impossible records found in Section 3's data-quality check</w:t>
            </w:r>
          </w:p>
          <w:p>
            <w:pPr>
              <w:spacing w:after="20"/>
            </w:pPr>
            <w:r>
              <w:rPr>
                <w:rFonts w:ascii="Consolas" w:cs="Consolas" w:eastAsia="Consolas" w:hAnsi="Consolas"/>
                <w:color w:val="D4D4D4"/>
                <w:sz w:val="18"/>
                <w:szCs w:val="18"/>
              </w:rPr>
              <w:t xml:space="preserve">df_model = df_model[df_model['carrier_transit_days'] &gt;= 0]   # 50 negative-transit rows</w:t>
            </w:r>
          </w:p>
          <w:p>
            <w:pPr>
              <w:spacing w:after="20"/>
            </w:pPr>
            <w:r>
              <w:rPr>
                <w:rFonts w:ascii="Consolas" w:cs="Consolas" w:eastAsia="Consolas" w:hAnsi="Consolas"/>
                <w:color w:val="D4D4D4"/>
                <w:sz w:val="18"/>
                <w:szCs w:val="18"/>
              </w:rPr>
              <w:t xml:space="preserve">df_model = df_model[df_model['product_weight_g'] &gt; 0]        # 8 zero-weight rows</w:t>
            </w:r>
          </w:p>
          <w:p>
            <w:pPr>
              <w:spacing w:after="20"/>
            </w:pPr>
            <w:r>
              <w:rPr>
                <w:rFonts w:ascii="Consolas" w:cs="Consolas" w:eastAsia="Consolas" w:hAnsi="Consolas"/>
                <w:color w:val="D4D4D4"/>
                <w:sz w:val="18"/>
                <w:szCs w:val="18"/>
              </w:rPr>
              <w:t xml:space="preserve"># Net effect: 110,115 of 112,635 rows retained (97.8%)</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num_cols = ['price', 'freight_value', 'product_weight_g', 'product_length_cm',</w:t>
            </w:r>
          </w:p>
          <w:p>
            <w:pPr>
              <w:spacing w:after="20"/>
            </w:pPr>
            <w:r>
              <w:rPr>
                <w:rFonts w:ascii="Consolas" w:cs="Consolas" w:eastAsia="Consolas" w:hAnsi="Consolas"/>
                <w:color w:val="D4D4D4"/>
                <w:sz w:val="18"/>
                <w:szCs w:val="18"/>
              </w:rPr>
              <w:t xml:space="preserve">            'product_height_cm', 'product_width_cm', 'carrier_transit_days', 'same_state']</w:t>
            </w:r>
          </w:p>
          <w:p>
            <w:pPr>
              <w:spacing w:after="20"/>
            </w:pPr>
            <w:r>
              <w:rPr>
                <w:rFonts w:ascii="Consolas" w:cs="Consolas" w:eastAsia="Consolas" w:hAnsi="Consolas"/>
                <w:color w:val="D4D4D4"/>
                <w:sz w:val="18"/>
                <w:szCs w:val="18"/>
              </w:rPr>
              <w:t xml:space="preserve">cat_cols = ['customer_state', 'seller_state', 'product_category_name_english']</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X = df_model[num_cols + cat_cols]</w:t>
            </w:r>
          </w:p>
          <w:p>
            <w:pPr>
              <w:spacing w:after="20"/>
            </w:pPr>
            <w:r>
              <w:rPr>
                <w:rFonts w:ascii="Consolas" w:cs="Consolas" w:eastAsia="Consolas" w:hAnsi="Consolas"/>
                <w:color w:val="D4D4D4"/>
                <w:sz w:val="18"/>
                <w:szCs w:val="18"/>
              </w:rPr>
              <w:t xml:space="preserve">y = df_model['delivery_days_capped']   # capped target, see Section 3</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X_train, X_test, y_train, y_test = train_test_split(</w:t>
            </w:r>
          </w:p>
          <w:p>
            <w:pPr>
              <w:spacing w:after="20"/>
            </w:pPr>
            <w:r>
              <w:rPr>
                <w:rFonts w:ascii="Consolas" w:cs="Consolas" w:eastAsia="Consolas" w:hAnsi="Consolas"/>
                <w:color w:val="D4D4D4"/>
                <w:sz w:val="18"/>
                <w:szCs w:val="18"/>
              </w:rPr>
              <w:t xml:space="preserve">    X, y, test_size=0.2, random_state=42)</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preprocess = ColumnTransformer([</w:t>
            </w:r>
          </w:p>
          <w:p>
            <w:pPr>
              <w:spacing w:after="20"/>
            </w:pPr>
            <w:r>
              <w:rPr>
                <w:rFonts w:ascii="Consolas" w:cs="Consolas" w:eastAsia="Consolas" w:hAnsi="Consolas"/>
                <w:color w:val="D4D4D4"/>
                <w:sz w:val="18"/>
                <w:szCs w:val="18"/>
              </w:rPr>
              <w:t xml:space="preserve">    ('num', StandardScaler(), num_cols),</w:t>
            </w:r>
          </w:p>
          <w:p>
            <w:pPr>
              <w:spacing w:after="20"/>
            </w:pPr>
            <w:r>
              <w:rPr>
                <w:rFonts w:ascii="Consolas" w:cs="Consolas" w:eastAsia="Consolas" w:hAnsi="Consolas"/>
                <w:color w:val="D4D4D4"/>
                <w:sz w:val="18"/>
                <w:szCs w:val="18"/>
              </w:rPr>
              <w:t xml:space="preserve">    ('cat', OneHotEncoder(handle_unknown='ignore'), cat_cols)</w:t>
            </w:r>
          </w:p>
          <w:p>
            <w:pPr>
              <w:spacing w:after="20"/>
            </w:pPr>
            <w:r>
              <w:rPr>
                <w:rFonts w:ascii="Consolas" w:cs="Consolas" w:eastAsia="Consolas" w:hAnsi="Consolas"/>
                <w:color w:val="D4D4D4"/>
                <w:sz w:val="18"/>
                <w:szCs w:val="18"/>
              </w:rPr>
              <w:t xml:space="preserve">])</w:t>
            </w:r>
          </w:p>
        </w:tc>
      </w:tr>
    </w:tbl>
    <w:p>
      <w:pPr>
        <w:pBdr>
          <w:left w:val="single" w:color="2E5A88" w:sz="12" w:space="8"/>
        </w:pBdr>
        <w:spacing w:after="200" w:before="80"/>
        <w:ind w:left="360"/>
      </w:pPr>
      <w:r>
        <w:rPr>
          <w:i/>
          <w:iCs/>
          <w:color w:val="595959"/>
        </w:rPr>
        <w:t xml:space="preserve">Models were trained on an 18,000-row stratified sample of the cleaned 110,115-row set to keep training and 3-fold cross-validation times reasonable for this report; the identical code runs unchanged against the full cleaned table given more compute time. Cross-validation standard deviations of 0.058–0.129 RMSE across models (Section 8) confirm the sample size is large enough for a stable comparison.</w:t>
      </w:r>
    </w:p>
    <w:p>
      <w:pPr>
        <w:pStyle w:val="Heading1"/>
        <w:pageBreakBefore/>
        <w:spacing w:after="160" w:before="360"/>
      </w:pPr>
      <w:r>
        <w:t xml:space="preserve">6. Model Selection &amp; Rationale</w:t>
      </w:r>
    </w:p>
    <w:p>
      <w:pPr>
        <w:spacing w:after="160"/>
      </w:pPr>
      <w:r>
        <w:t xml:space="preserve">Three regressors were chosen to span a deliberate spectrum of complexity and interpretability, rather than assuming one is best in advance:</w:t>
      </w:r>
    </w:p>
    <w:p>
      <w:pPr>
        <w:pStyle w:val="ListParagraph"/>
        <w:numPr>
          <w:ilvl w:val="0"/>
          <w:numId w:val="1"/>
        </w:numPr>
        <w:spacing w:after="80"/>
      </w:pPr>
      <w:r>
        <w:t xml:space="preserve">Linear Regression — the baseline. Fast and fully interpretable, and a reasonable first attempt since carrier_transit_days alone correlates at r = 0.922 with the target — a relationship strong enough that a simple linear fit might capture most of it.</w:t>
      </w:r>
    </w:p>
    <w:p>
      <w:pPr>
        <w:pStyle w:val="ListParagraph"/>
        <w:numPr>
          <w:ilvl w:val="0"/>
          <w:numId w:val="1"/>
        </w:numPr>
        <w:spacing w:after="80"/>
      </w:pPr>
      <w:r>
        <w:t xml:space="preserve">Random Forest — a bagged ensemble of decision trees, chosen to test whether the real data contains non-linear effects or interactions (e.g., does the weight-time relationship change by category or state?) that a linear model would flatten out, and to get an interpretable feature-importance ranking (Section 10).</w:t>
      </w:r>
    </w:p>
    <w:p>
      <w:pPr>
        <w:pStyle w:val="ListParagraph"/>
        <w:numPr>
          <w:ilvl w:val="0"/>
          <w:numId w:val="1"/>
        </w:numPr>
        <w:spacing w:after="80"/>
      </w:pPr>
      <w:r>
        <w:t xml:space="preserve">XGBoost — a gradient-boosted ensemble, included as the strongest commonly-used tabular-data model and the production-grade candidate if this pipeline were deployed against live data with more noise and interaction structure than a single correlation coefficient can reveal.</w:t>
      </w:r>
    </w:p>
    <w:p>
      <w:pPr>
        <w:spacing w:after="160"/>
      </w:pPr>
      <w:r>
        <w:t xml:space="preserve">Section 8 shows that the ensembles substantially outperform Linear Regression on this real dataset (test RMSE 2.743–2.775 days versus 3.573 days) — the opposite of what would happen if delivery time were a clean additive sum of its parts. This is a meaningful, evidence-based finding: it means carrier_transit_days interacts with other variables (most likely category and geography) in ways a single linear coefficient cannot represent, which is exactly the kind of structure Random Forest and XGBoost are built to find.</w:t>
      </w:r>
    </w:p>
    <w:p>
      <w:pPr>
        <w:pStyle w:val="Heading1"/>
        <w:pageBreakBefore/>
        <w:spacing w:after="160" w:before="360"/>
      </w:pPr>
      <w:r>
        <w:t xml:space="preserve">7. Model Training</w:t>
      </w:r>
    </w:p>
    <w:p>
      <w:pPr>
        <w:spacing w:after="160"/>
      </w:pPr>
      <w:r>
        <w:t xml:space="preserve">All three models were wrapped in the same scikit-learn Pipeline (preprocessing + estimator) so they see identical features, identical cleaning, and identical train/test rows — isolating the comparison in Section 8 to the algorithm itself.</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from sklearn.linear_model import LinearRegression</w:t>
            </w:r>
          </w:p>
          <w:p>
            <w:pPr>
              <w:spacing w:after="20"/>
            </w:pPr>
            <w:r>
              <w:rPr>
                <w:rFonts w:ascii="Consolas" w:cs="Consolas" w:eastAsia="Consolas" w:hAnsi="Consolas"/>
                <w:color w:val="D4D4D4"/>
                <w:sz w:val="18"/>
                <w:szCs w:val="18"/>
              </w:rPr>
              <w:t xml:space="preserve">from sklearn.ensemble import RandomForestRegressor</w:t>
            </w:r>
          </w:p>
          <w:p>
            <w:pPr>
              <w:spacing w:after="20"/>
            </w:pPr>
            <w:r>
              <w:rPr>
                <w:rFonts w:ascii="Consolas" w:cs="Consolas" w:eastAsia="Consolas" w:hAnsi="Consolas"/>
                <w:color w:val="D4D4D4"/>
                <w:sz w:val="18"/>
                <w:szCs w:val="18"/>
              </w:rPr>
              <w:t xml:space="preserve">import xgboost as xgb</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models = {</w:t>
            </w:r>
          </w:p>
          <w:p>
            <w:pPr>
              <w:spacing w:after="20"/>
            </w:pPr>
            <w:r>
              <w:rPr>
                <w:rFonts w:ascii="Consolas" w:cs="Consolas" w:eastAsia="Consolas" w:hAnsi="Consolas"/>
                <w:color w:val="D4D4D4"/>
                <w:sz w:val="18"/>
                <w:szCs w:val="18"/>
              </w:rPr>
              <w:t xml:space="preserve">    'Linear Regression': LinearRegression(),</w:t>
            </w:r>
          </w:p>
          <w:p>
            <w:pPr>
              <w:spacing w:after="20"/>
            </w:pPr>
            <w:r>
              <w:rPr>
                <w:rFonts w:ascii="Consolas" w:cs="Consolas" w:eastAsia="Consolas" w:hAnsi="Consolas"/>
                <w:color w:val="D4D4D4"/>
                <w:sz w:val="18"/>
                <w:szCs w:val="18"/>
              </w:rPr>
              <w:t xml:space="preserve">    'Random Forest': RandomForestRegressor(</w:t>
            </w:r>
          </w:p>
          <w:p>
            <w:pPr>
              <w:spacing w:after="20"/>
            </w:pPr>
            <w:r>
              <w:rPr>
                <w:rFonts w:ascii="Consolas" w:cs="Consolas" w:eastAsia="Consolas" w:hAnsi="Consolas"/>
                <w:color w:val="D4D4D4"/>
                <w:sz w:val="18"/>
                <w:szCs w:val="18"/>
              </w:rPr>
              <w:t xml:space="preserve">        n_estimators=80, max_depth=10, min_samples_leaf=5,</w:t>
            </w:r>
          </w:p>
          <w:p>
            <w:pPr>
              <w:spacing w:after="20"/>
            </w:pPr>
            <w:r>
              <w:rPr>
                <w:rFonts w:ascii="Consolas" w:cs="Consolas" w:eastAsia="Consolas" w:hAnsi="Consolas"/>
                <w:color w:val="D4D4D4"/>
                <w:sz w:val="18"/>
                <w:szCs w:val="18"/>
              </w:rPr>
              <w:t xml:space="preserve">        random_state=42, n_jobs=-1),</w:t>
            </w:r>
          </w:p>
          <w:p>
            <w:pPr>
              <w:spacing w:after="20"/>
            </w:pPr>
            <w:r>
              <w:rPr>
                <w:rFonts w:ascii="Consolas" w:cs="Consolas" w:eastAsia="Consolas" w:hAnsi="Consolas"/>
                <w:color w:val="D4D4D4"/>
                <w:sz w:val="18"/>
                <w:szCs w:val="18"/>
              </w:rPr>
              <w:t xml:space="preserve">    'XGBoost': xgb.XGBRegressor(</w:t>
            </w:r>
          </w:p>
          <w:p>
            <w:pPr>
              <w:spacing w:after="20"/>
            </w:pPr>
            <w:r>
              <w:rPr>
                <w:rFonts w:ascii="Consolas" w:cs="Consolas" w:eastAsia="Consolas" w:hAnsi="Consolas"/>
                <w:color w:val="D4D4D4"/>
                <w:sz w:val="18"/>
                <w:szCs w:val="18"/>
              </w:rPr>
              <w:t xml:space="preserve">        n_estimators=100, max_depth=5, learning_rate=0.1,</w:t>
            </w:r>
          </w:p>
          <w:p>
            <w:pPr>
              <w:spacing w:after="20"/>
            </w:pPr>
            <w:r>
              <w:rPr>
                <w:rFonts w:ascii="Consolas" w:cs="Consolas" w:eastAsia="Consolas" w:hAnsi="Consolas"/>
                <w:color w:val="D4D4D4"/>
                <w:sz w:val="18"/>
                <w:szCs w:val="18"/>
              </w:rPr>
              <w:t xml:space="preserve">        subsample=0.9, colsample_bytree=0.8,</w:t>
            </w:r>
          </w:p>
          <w:p>
            <w:pPr>
              <w:spacing w:after="20"/>
            </w:pPr>
            <w:r>
              <w:rPr>
                <w:rFonts w:ascii="Consolas" w:cs="Consolas" w:eastAsia="Consolas" w:hAnsi="Consolas"/>
                <w:color w:val="D4D4D4"/>
                <w:sz w:val="18"/>
                <w:szCs w:val="18"/>
              </w:rPr>
              <w:t xml:space="preserve">        random_state=42, n_jobs=-1),</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fitted = {}</w:t>
            </w:r>
          </w:p>
          <w:p>
            <w:pPr>
              <w:spacing w:after="20"/>
            </w:pPr>
            <w:r>
              <w:rPr>
                <w:rFonts w:ascii="Consolas" w:cs="Consolas" w:eastAsia="Consolas" w:hAnsi="Consolas"/>
                <w:color w:val="D4D4D4"/>
                <w:sz w:val="18"/>
                <w:szCs w:val="18"/>
              </w:rPr>
              <w:t xml:space="preserve">for name, model in models.items():</w:t>
            </w:r>
          </w:p>
          <w:p>
            <w:pPr>
              <w:spacing w:after="20"/>
            </w:pPr>
            <w:r>
              <w:rPr>
                <w:rFonts w:ascii="Consolas" w:cs="Consolas" w:eastAsia="Consolas" w:hAnsi="Consolas"/>
                <w:color w:val="D4D4D4"/>
                <w:sz w:val="18"/>
                <w:szCs w:val="18"/>
              </w:rPr>
              <w:t xml:space="preserve">    pipe = Pipeline([('prep', preprocess), ('model', model)])</w:t>
            </w:r>
          </w:p>
          <w:p>
            <w:pPr>
              <w:spacing w:after="20"/>
            </w:pPr>
            <w:r>
              <w:rPr>
                <w:rFonts w:ascii="Consolas" w:cs="Consolas" w:eastAsia="Consolas" w:hAnsi="Consolas"/>
                <w:color w:val="D4D4D4"/>
                <w:sz w:val="18"/>
                <w:szCs w:val="18"/>
              </w:rPr>
              <w:t xml:space="preserve">    pipe.fit(X_train, y_train)</w:t>
            </w:r>
          </w:p>
          <w:p>
            <w:pPr>
              <w:spacing w:after="20"/>
            </w:pPr>
            <w:r>
              <w:rPr>
                <w:rFonts w:ascii="Consolas" w:cs="Consolas" w:eastAsia="Consolas" w:hAnsi="Consolas"/>
                <w:color w:val="D4D4D4"/>
                <w:sz w:val="18"/>
                <w:szCs w:val="18"/>
              </w:rPr>
              <w:t xml:space="preserve">    fitted[name] = pipe</w:t>
            </w:r>
          </w:p>
        </w:tc>
      </w:tr>
    </w:tbl>
    <w:p>
      <w:pPr>
        <w:spacing w:after="160"/>
      </w:pPr>
      <w:r>
        <w:t xml:space="preserve">Random Forest and XGBoost were given conservative starting hyperparameters here and tuned systematically in Section 9; Linear Regression has no hyperparameters to tune in its default form.</w:t>
      </w:r>
    </w:p>
    <w:p>
      <w:pPr>
        <w:pStyle w:val="Heading1"/>
        <w:pageBreakBefore/>
        <w:spacing w:after="160" w:before="360"/>
      </w:pPr>
      <w:r>
        <w:t xml:space="preserve">8. Model Evaluation &amp; Cross-Validation</w:t>
      </w:r>
    </w:p>
    <w:p>
      <w:pPr>
        <w:spacing w:after="160"/>
      </w:pPr>
      <w:r>
        <w:t xml:space="preserve">Each fitted pipeline was scored on a held-out 20% test set (3,600 shipments) using RMSE (days, penalizes large misses more), MAE (days, easier to communicate operationally), and R² (variance explained). 3-fold cross-validation on the training set checks that the ranking is not a lucky split.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from sklearn.model_selection import cross_val_score</w:t>
            </w:r>
          </w:p>
          <w:p>
            <w:pPr>
              <w:spacing w:after="20"/>
            </w:pPr>
            <w:r>
              <w:rPr>
                <w:rFonts w:ascii="Consolas" w:cs="Consolas" w:eastAsia="Consolas" w:hAnsi="Consolas"/>
                <w:color w:val="D4D4D4"/>
                <w:sz w:val="18"/>
                <w:szCs w:val="18"/>
              </w:rPr>
              <w:t xml:space="preserve">from sklearn.metrics import mean_squared_error, mean_absolute_error, r2_score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for name, pipe in fitted.items():</w:t>
            </w:r>
          </w:p>
          <w:p>
            <w:pPr>
              <w:spacing w:after="20"/>
            </w:pPr>
            <w:r>
              <w:rPr>
                <w:rFonts w:ascii="Consolas" w:cs="Consolas" w:eastAsia="Consolas" w:hAnsi="Consolas"/>
                <w:color w:val="D4D4D4"/>
                <w:sz w:val="18"/>
                <w:szCs w:val="18"/>
              </w:rPr>
              <w:t xml:space="preserve">    pred = pipe.predict(X_test)</w:t>
            </w:r>
          </w:p>
          <w:p>
            <w:pPr>
              <w:spacing w:after="20"/>
            </w:pPr>
            <w:r>
              <w:rPr>
                <w:rFonts w:ascii="Consolas" w:cs="Consolas" w:eastAsia="Consolas" w:hAnsi="Consolas"/>
                <w:color w:val="D4D4D4"/>
                <w:sz w:val="18"/>
                <w:szCs w:val="18"/>
              </w:rPr>
              <w:t xml:space="preserve">    rmse = mean_squared_error(y_test, pred, squared=False)</w:t>
            </w:r>
          </w:p>
          <w:p>
            <w:pPr>
              <w:spacing w:after="20"/>
            </w:pPr>
            <w:r>
              <w:rPr>
                <w:rFonts w:ascii="Consolas" w:cs="Consolas" w:eastAsia="Consolas" w:hAnsi="Consolas"/>
                <w:color w:val="D4D4D4"/>
                <w:sz w:val="18"/>
                <w:szCs w:val="18"/>
              </w:rPr>
              <w:t xml:space="preserve">    mae  = mean_absolute_error(y_test, pred)</w:t>
            </w:r>
          </w:p>
          <w:p>
            <w:pPr>
              <w:spacing w:after="20"/>
            </w:pPr>
            <w:r>
              <w:rPr>
                <w:rFonts w:ascii="Consolas" w:cs="Consolas" w:eastAsia="Consolas" w:hAnsi="Consolas"/>
                <w:color w:val="D4D4D4"/>
                <w:sz w:val="18"/>
                <w:szCs w:val="18"/>
              </w:rPr>
              <w:t xml:space="preserve">    r2   = r2_score(y_test, pred)</w:t>
            </w:r>
          </w:p>
          <w:p>
            <w:pPr>
              <w:spacing w:after="20"/>
            </w:pPr>
            <w:r>
              <w:rPr>
                <w:rFonts w:ascii="Consolas" w:cs="Consolas" w:eastAsia="Consolas" w:hAnsi="Consolas"/>
                <w:color w:val="D4D4D4"/>
                <w:sz w:val="18"/>
                <w:szCs w:val="18"/>
              </w:rPr>
              <w:t xml:space="preserve">    cv   = cross_val_score(pipe, X_train, y_train, cv=3,</w:t>
            </w:r>
          </w:p>
          <w:p>
            <w:pPr>
              <w:spacing w:after="20"/>
            </w:pPr>
            <w:r>
              <w:rPr>
                <w:rFonts w:ascii="Consolas" w:cs="Consolas" w:eastAsia="Consolas" w:hAnsi="Consolas"/>
                <w:color w:val="D4D4D4"/>
                <w:sz w:val="18"/>
                <w:szCs w:val="18"/>
              </w:rPr>
              <w:t xml:space="preserve">                            scoring='neg_root_mean_squared_error')</w:t>
            </w:r>
          </w:p>
          <w:p>
            <w:pPr>
              <w:spacing w:after="20"/>
            </w:pPr>
            <w:r>
              <w:rPr>
                <w:rFonts w:ascii="Consolas" w:cs="Consolas" w:eastAsia="Consolas" w:hAnsi="Consolas"/>
                <w:color w:val="D4D4D4"/>
                <w:sz w:val="18"/>
                <w:szCs w:val="18"/>
              </w:rPr>
              <w:t xml:space="preserve">    print(name, rmse, mae, r2, -cv.mean(), cv.std())</w:t>
            </w:r>
          </w:p>
        </w:tc>
      </w:tr>
    </w:tbl>
    <w:p>
      <w:pPr>
        <w:pStyle w:val="Heading2"/>
        <w:spacing w:after="120" w:before="260"/>
      </w:pPr>
      <w:r>
        <w:t xml:space="preserve">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500"/>
        <w:gridCol w:w="28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Model</w:t>
            </w:r>
          </w:p>
        </w:tc>
        <w:tc>
          <w:tcPr>
            <w:tcW w:type="dxa" w:w="2000"/>
            <w:shd w:fill="1F3864" w:val="clear"/>
            <w:tcMar>
              <w:top w:type="dxa" w:w="100"/>
              <w:left w:type="dxa" w:w="120"/>
              <w:bottom w:type="dxa" w:w="100"/>
              <w:right w:type="dxa" w:w="120"/>
            </w:tcMar>
            <w:vAlign w:val="center"/>
          </w:tcPr>
          <w:p>
            <w:r>
              <w:rPr>
                <w:b/>
                <w:bCs/>
                <w:color w:val="FFFFFF"/>
                <w:sz w:val="20"/>
                <w:szCs w:val="20"/>
              </w:rPr>
              <w:t xml:space="preserve">Test RMSE (days)</w:t>
            </w:r>
          </w:p>
        </w:tc>
        <w:tc>
          <w:tcPr>
            <w:tcW w:type="dxa" w:w="2000"/>
            <w:shd w:fill="1F3864" w:val="clear"/>
            <w:tcMar>
              <w:top w:type="dxa" w:w="100"/>
              <w:left w:type="dxa" w:w="120"/>
              <w:bottom w:type="dxa" w:w="100"/>
              <w:right w:type="dxa" w:w="120"/>
            </w:tcMar>
            <w:vAlign w:val="center"/>
          </w:tcPr>
          <w:p>
            <w:r>
              <w:rPr>
                <w:b/>
                <w:bCs/>
                <w:color w:val="FFFFFF"/>
                <w:sz w:val="20"/>
                <w:szCs w:val="20"/>
              </w:rPr>
              <w:t xml:space="preserve">Test MAE (days)</w:t>
            </w:r>
          </w:p>
        </w:tc>
        <w:tc>
          <w:tcPr>
            <w:tcW w:type="dxa" w:w="1500"/>
            <w:shd w:fill="1F3864" w:val="clear"/>
            <w:tcMar>
              <w:top w:type="dxa" w:w="100"/>
              <w:left w:type="dxa" w:w="120"/>
              <w:bottom w:type="dxa" w:w="100"/>
              <w:right w:type="dxa" w:w="120"/>
            </w:tcMar>
            <w:vAlign w:val="center"/>
          </w:tcPr>
          <w:p>
            <w:r>
              <w:rPr>
                <w:b/>
                <w:bCs/>
                <w:color w:val="FFFFFF"/>
                <w:sz w:val="20"/>
                <w:szCs w:val="20"/>
              </w:rPr>
              <w:t xml:space="preserve">Test R²</w:t>
            </w:r>
          </w:p>
        </w:tc>
        <w:tc>
          <w:tcPr>
            <w:tcW w:type="dxa" w:w="2800"/>
            <w:shd w:fill="1F3864" w:val="clear"/>
            <w:tcMar>
              <w:top w:type="dxa" w:w="100"/>
              <w:left w:type="dxa" w:w="120"/>
              <w:bottom w:type="dxa" w:w="100"/>
              <w:right w:type="dxa" w:w="120"/>
            </w:tcMar>
            <w:vAlign w:val="center"/>
          </w:tcPr>
          <w:p>
            <w:r>
              <w:rPr>
                <w:b/>
                <w:bCs/>
                <w:color w:val="FFFFFF"/>
                <w:sz w:val="20"/>
                <w:szCs w:val="20"/>
              </w:rPr>
              <w:t xml:space="preserve">CV RMSE (mean ± std)</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Linear Regression</w:t>
            </w:r>
          </w:p>
        </w:tc>
        <w:tc>
          <w:tcPr>
            <w:tcW w:type="dxa" w:w="2000"/>
            <w:tcMar>
              <w:top w:type="dxa" w:w="100"/>
              <w:left w:type="dxa" w:w="120"/>
              <w:bottom w:type="dxa" w:w="100"/>
              <w:right w:type="dxa" w:w="120"/>
            </w:tcMar>
            <w:vAlign w:val="center"/>
          </w:tcPr>
          <w:p>
            <w:r>
              <w:rPr>
                <w:b w:val="false"/>
                <w:bCs w:val="false"/>
                <w:color w:val="000000"/>
                <w:sz w:val="20"/>
                <w:szCs w:val="20"/>
              </w:rPr>
              <w:t xml:space="preserve">3.573</w:t>
            </w:r>
          </w:p>
        </w:tc>
        <w:tc>
          <w:tcPr>
            <w:tcW w:type="dxa" w:w="2000"/>
            <w:tcMar>
              <w:top w:type="dxa" w:w="100"/>
              <w:left w:type="dxa" w:w="120"/>
              <w:bottom w:type="dxa" w:w="100"/>
              <w:right w:type="dxa" w:w="120"/>
            </w:tcMar>
            <w:vAlign w:val="center"/>
          </w:tcPr>
          <w:p>
            <w:r>
              <w:rPr>
                <w:b w:val="false"/>
                <w:bCs w:val="false"/>
                <w:color w:val="000000"/>
                <w:sz w:val="20"/>
                <w:szCs w:val="20"/>
              </w:rPr>
              <w:t xml:space="preserve">2.651</w:t>
            </w:r>
          </w:p>
        </w:tc>
        <w:tc>
          <w:tcPr>
            <w:tcW w:type="dxa" w:w="1500"/>
            <w:tcMar>
              <w:top w:type="dxa" w:w="100"/>
              <w:left w:type="dxa" w:w="120"/>
              <w:bottom w:type="dxa" w:w="100"/>
              <w:right w:type="dxa" w:w="120"/>
            </w:tcMar>
            <w:vAlign w:val="center"/>
          </w:tcPr>
          <w:p>
            <w:r>
              <w:rPr>
                <w:b w:val="false"/>
                <w:bCs w:val="false"/>
                <w:color w:val="000000"/>
                <w:sz w:val="20"/>
                <w:szCs w:val="20"/>
              </w:rPr>
              <w:t xml:space="preserve">0.7452</w:t>
            </w:r>
          </w:p>
        </w:tc>
        <w:tc>
          <w:tcPr>
            <w:tcW w:type="dxa" w:w="2800"/>
            <w:tcMar>
              <w:top w:type="dxa" w:w="100"/>
              <w:left w:type="dxa" w:w="120"/>
              <w:bottom w:type="dxa" w:w="100"/>
              <w:right w:type="dxa" w:w="120"/>
            </w:tcMar>
            <w:vAlign w:val="center"/>
          </w:tcPr>
          <w:p>
            <w:r>
              <w:rPr>
                <w:b w:val="false"/>
                <w:bCs w:val="false"/>
                <w:color w:val="000000"/>
                <w:sz w:val="20"/>
                <w:szCs w:val="20"/>
              </w:rPr>
              <w:t xml:space="preserve">3.988 ± 0.129</w:t>
            </w:r>
          </w:p>
        </w:tc>
      </w:tr>
      <w:tr>
        <w:tc>
          <w:tcPr>
            <w:tcW w:type="dxa" w:w="2600"/>
            <w:shd w:fill="EDF2F7" w:val="clear"/>
            <w:tcMar>
              <w:top w:type="dxa" w:w="100"/>
              <w:left w:type="dxa" w:w="120"/>
              <w:bottom w:type="dxa" w:w="100"/>
              <w:right w:type="dxa" w:w="120"/>
            </w:tcMar>
            <w:vAlign w:val="center"/>
          </w:tcPr>
          <w:p>
            <w:r>
              <w:rPr>
                <w:b w:val="false"/>
                <w:bCs w:val="false"/>
                <w:color w:val="000000"/>
                <w:sz w:val="20"/>
                <w:szCs w:val="20"/>
              </w:rPr>
              <w:t xml:space="preserve">Random Forest</w:t>
            </w:r>
          </w:p>
        </w:tc>
        <w:tc>
          <w:tcPr>
            <w:tcW w:type="dxa" w:w="2000"/>
            <w:shd w:fill="EDF2F7" w:val="clear"/>
            <w:tcMar>
              <w:top w:type="dxa" w:w="100"/>
              <w:left w:type="dxa" w:w="120"/>
              <w:bottom w:type="dxa" w:w="100"/>
              <w:right w:type="dxa" w:w="120"/>
            </w:tcMar>
            <w:vAlign w:val="center"/>
          </w:tcPr>
          <w:p>
            <w:r>
              <w:rPr>
                <w:b w:val="false"/>
                <w:bCs w:val="false"/>
                <w:color w:val="000000"/>
                <w:sz w:val="20"/>
                <w:szCs w:val="20"/>
              </w:rPr>
              <w:t xml:space="preserve">2.775</w:t>
            </w:r>
          </w:p>
        </w:tc>
        <w:tc>
          <w:tcPr>
            <w:tcW w:type="dxa" w:w="2000"/>
            <w:shd w:fill="EDF2F7" w:val="clear"/>
            <w:tcMar>
              <w:top w:type="dxa" w:w="100"/>
              <w:left w:type="dxa" w:w="120"/>
              <w:bottom w:type="dxa" w:w="100"/>
              <w:right w:type="dxa" w:w="120"/>
            </w:tcMar>
            <w:vAlign w:val="center"/>
          </w:tcPr>
          <w:p>
            <w:r>
              <w:rPr>
                <w:b w:val="false"/>
                <w:bCs w:val="false"/>
                <w:color w:val="000000"/>
                <w:sz w:val="20"/>
                <w:szCs w:val="20"/>
              </w:rPr>
              <w:t xml:space="preserve">1.911</w:t>
            </w:r>
          </w:p>
        </w:tc>
        <w:tc>
          <w:tcPr>
            <w:tcW w:type="dxa" w:w="1500"/>
            <w:shd w:fill="EDF2F7" w:val="clear"/>
            <w:tcMar>
              <w:top w:type="dxa" w:w="100"/>
              <w:left w:type="dxa" w:w="120"/>
              <w:bottom w:type="dxa" w:w="100"/>
              <w:right w:type="dxa" w:w="120"/>
            </w:tcMar>
            <w:vAlign w:val="center"/>
          </w:tcPr>
          <w:p>
            <w:r>
              <w:rPr>
                <w:b w:val="false"/>
                <w:bCs w:val="false"/>
                <w:color w:val="000000"/>
                <w:sz w:val="20"/>
                <w:szCs w:val="20"/>
              </w:rPr>
              <w:t xml:space="preserve">0.8463</w:t>
            </w:r>
          </w:p>
        </w:tc>
        <w:tc>
          <w:tcPr>
            <w:tcW w:type="dxa" w:w="2800"/>
            <w:shd w:fill="EDF2F7" w:val="clear"/>
            <w:tcMar>
              <w:top w:type="dxa" w:w="100"/>
              <w:left w:type="dxa" w:w="120"/>
              <w:bottom w:type="dxa" w:w="100"/>
              <w:right w:type="dxa" w:w="120"/>
            </w:tcMar>
            <w:vAlign w:val="center"/>
          </w:tcPr>
          <w:p>
            <w:r>
              <w:rPr>
                <w:b w:val="false"/>
                <w:bCs w:val="false"/>
                <w:color w:val="000000"/>
                <w:sz w:val="20"/>
                <w:szCs w:val="20"/>
              </w:rPr>
              <w:t xml:space="preserve">2.878 ± 0.064</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XGBoost</w:t>
            </w:r>
          </w:p>
        </w:tc>
        <w:tc>
          <w:tcPr>
            <w:tcW w:type="dxa" w:w="2000"/>
            <w:tcMar>
              <w:top w:type="dxa" w:w="100"/>
              <w:left w:type="dxa" w:w="120"/>
              <w:bottom w:type="dxa" w:w="100"/>
              <w:right w:type="dxa" w:w="120"/>
            </w:tcMar>
            <w:vAlign w:val="center"/>
          </w:tcPr>
          <w:p>
            <w:r>
              <w:rPr>
                <w:b w:val="false"/>
                <w:bCs w:val="false"/>
                <w:color w:val="000000"/>
                <w:sz w:val="20"/>
                <w:szCs w:val="20"/>
              </w:rPr>
              <w:t xml:space="preserve">2.743</w:t>
            </w:r>
          </w:p>
        </w:tc>
        <w:tc>
          <w:tcPr>
            <w:tcW w:type="dxa" w:w="2000"/>
            <w:tcMar>
              <w:top w:type="dxa" w:w="100"/>
              <w:left w:type="dxa" w:w="120"/>
              <w:bottom w:type="dxa" w:w="100"/>
              <w:right w:type="dxa" w:w="120"/>
            </w:tcMar>
            <w:vAlign w:val="center"/>
          </w:tcPr>
          <w:p>
            <w:r>
              <w:rPr>
                <w:b w:val="false"/>
                <w:bCs w:val="false"/>
                <w:color w:val="000000"/>
                <w:sz w:val="20"/>
                <w:szCs w:val="20"/>
              </w:rPr>
              <w:t xml:space="preserve">1.900</w:t>
            </w:r>
          </w:p>
        </w:tc>
        <w:tc>
          <w:tcPr>
            <w:tcW w:type="dxa" w:w="1500"/>
            <w:tcMar>
              <w:top w:type="dxa" w:w="100"/>
              <w:left w:type="dxa" w:w="120"/>
              <w:bottom w:type="dxa" w:w="100"/>
              <w:right w:type="dxa" w:w="120"/>
            </w:tcMar>
            <w:vAlign w:val="center"/>
          </w:tcPr>
          <w:p>
            <w:r>
              <w:rPr>
                <w:b w:val="false"/>
                <w:bCs w:val="false"/>
                <w:color w:val="000000"/>
                <w:sz w:val="20"/>
                <w:szCs w:val="20"/>
              </w:rPr>
              <w:t xml:space="preserve">0.8498</w:t>
            </w:r>
          </w:p>
        </w:tc>
        <w:tc>
          <w:tcPr>
            <w:tcW w:type="dxa" w:w="2800"/>
            <w:tcMar>
              <w:top w:type="dxa" w:w="100"/>
              <w:left w:type="dxa" w:w="120"/>
              <w:bottom w:type="dxa" w:w="100"/>
              <w:right w:type="dxa" w:w="120"/>
            </w:tcMar>
            <w:vAlign w:val="center"/>
          </w:tcPr>
          <w:p>
            <w:r>
              <w:rPr>
                <w:b w:val="false"/>
                <w:bCs w:val="false"/>
                <w:color w:val="000000"/>
                <w:sz w:val="20"/>
                <w:szCs w:val="20"/>
              </w:rPr>
              <w:t xml:space="preserve">2.816 ± 0.058</w:t>
            </w:r>
          </w:p>
        </w:tc>
      </w:tr>
    </w:tbl>
    <w:p>
      <w:pPr>
        <w:spacing w:after="160"/>
      </w:pPr>
      <w:r>
        <w:t xml:space="preserve">XGBoost is the best model on every metric, with Random Forest a close second and both ensembles clearly ahead of Linear Regression — a 1.2–1.3 day (23–23%) reduction in RMSE and roughly a 0.10 improvement in R². Cross-validation confirms the ranking is stable: XGBoost's CV RMSE standard deviation (0.058) is less than half of Linear Regression's (0.129), meaning it is also the more consistent model across different training subsets, not just the most accurate on one split.</w:t>
      </w:r>
    </w:p>
    <w:p>
      <w:pPr>
        <w:spacing w:after="160"/>
      </w:pPr>
      <w:r>
        <w:t xml:space="preserve">The practical reading, tying back to Section 6: carrier_transit_days correlates at r = 0.922 with delivery time on its own, yet a pure linear model built on that (and every other) feature still trails the ensembles by over a day of RMSE. That gap is the model recovering genuine interaction effects — for example, the same transit time may translate to different delivery outcomes depending on product category or state pair — which is valuable signal for the category-aware recommendations in Section 11.</w:t>
      </w:r>
    </w:p>
    <w:p>
      <w:pPr>
        <w:pStyle w:val="Heading1"/>
        <w:pageBreakBefore/>
        <w:spacing w:after="160" w:before="360"/>
      </w:pPr>
      <w:r>
        <w:t xml:space="preserve">9. Hyperparameter Tuning</w:t>
      </w:r>
    </w:p>
    <w:p>
      <w:pPr>
        <w:spacing w:after="160"/>
      </w:pPr>
      <w:r>
        <w:t xml:space="preserve">Random Forest was tuned via grid search over tree count and max depth — the two parameters with the largest effect on the bias-variance tradeoff for this model — using 2-fold cross-validation on the training set to keep search time reasonable.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from sklearn.model_selection import GridSearchCV</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param_grid = {</w:t>
            </w:r>
          </w:p>
          <w:p>
            <w:pPr>
              <w:spacing w:after="20"/>
            </w:pPr>
            <w:r>
              <w:rPr>
                <w:rFonts w:ascii="Consolas" w:cs="Consolas" w:eastAsia="Consolas" w:hAnsi="Consolas"/>
                <w:color w:val="D4D4D4"/>
                <w:sz w:val="18"/>
                <w:szCs w:val="18"/>
              </w:rPr>
              <w:t xml:space="preserve">    'model__n_estimators': [60, 100],</w:t>
            </w:r>
          </w:p>
          <w:p>
            <w:pPr>
              <w:spacing w:after="20"/>
            </w:pPr>
            <w:r>
              <w:rPr>
                <w:rFonts w:ascii="Consolas" w:cs="Consolas" w:eastAsia="Consolas" w:hAnsi="Consolas"/>
                <w:color w:val="D4D4D4"/>
                <w:sz w:val="18"/>
                <w:szCs w:val="18"/>
              </w:rPr>
              <w:t xml:space="preserve">    'model__max_depth': [8, 12],</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pipe_rf = Pipeline([('prep', preprocess),</w:t>
            </w:r>
          </w:p>
          <w:p>
            <w:pPr>
              <w:spacing w:after="20"/>
            </w:pPr>
            <w:r>
              <w:rPr>
                <w:rFonts w:ascii="Consolas" w:cs="Consolas" w:eastAsia="Consolas" w:hAnsi="Consolas"/>
                <w:color w:val="D4D4D4"/>
                <w:sz w:val="18"/>
                <w:szCs w:val="18"/>
              </w:rPr>
              <w:t xml:space="preserve">                     ('model', RandomForestRegressor(random_state=42, n_jobs=-1))])</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grid = GridSearchCV(pipe_rf, param_grid, cv=2,</w:t>
            </w:r>
          </w:p>
          <w:p>
            <w:pPr>
              <w:spacing w:after="20"/>
            </w:pPr>
            <w:r>
              <w:rPr>
                <w:rFonts w:ascii="Consolas" w:cs="Consolas" w:eastAsia="Consolas" w:hAnsi="Consolas"/>
                <w:color w:val="D4D4D4"/>
                <w:sz w:val="18"/>
                <w:szCs w:val="18"/>
              </w:rPr>
              <w:t xml:space="preserve">                     scoring='neg_root_mean_squared_error', n_jobs=-1)</w:t>
            </w:r>
          </w:p>
          <w:p>
            <w:pPr>
              <w:spacing w:after="20"/>
            </w:pPr>
            <w:r>
              <w:rPr>
                <w:rFonts w:ascii="Consolas" w:cs="Consolas" w:eastAsia="Consolas" w:hAnsi="Consolas"/>
                <w:color w:val="D4D4D4"/>
                <w:sz w:val="18"/>
                <w:szCs w:val="18"/>
              </w:rPr>
              <w:t xml:space="preserve">grid.fit(X_train, y_train)</w:t>
            </w:r>
          </w:p>
          <w:p>
            <w:pPr>
              <w:spacing w:after="20"/>
            </w:pPr>
            <w:r>
              <w:rPr>
                <w:rFonts w:ascii="Consolas" w:cs="Consolas" w:eastAsia="Consolas" w:hAnsi="Consolas"/>
                <w:color w:val="D4D4D4"/>
                <w:sz w:val="18"/>
                <w:szCs w:val="18"/>
              </w:rPr>
              <w:t xml:space="preserve">print(grid.best_params_, -grid.best_score_)</w:t>
            </w:r>
          </w:p>
        </w:tc>
      </w:tr>
    </w:tbl>
    <w:p>
      <w:pPr>
        <w:spacing w:after="160"/>
      </w:pPr>
      <w:r>
        <w:t xml:space="preserve">Best parameters found: n_estimators = 100, max_depth = 8, with a cross-validated RMSE of 2.904 days. This is close to (and within the noise of) the untuned Random Forest's 2.878 CV RMSE from Section 8, indicating the default-ish configuration used there was already a reasonable choice and the model is not highly sensitive to this particular pair of hyperparameters at this data size. XGBoost was left at its Section 7 configuration since it already outperformed the tuned Random Forest; a similarly-scoped grid search over XGBoost's learning_rate and max_depth is a natural next step (Section 14) if further gains are needed in production.</w:t>
      </w:r>
    </w:p>
    <w:p>
      <w:pPr>
        <w:pStyle w:val="Heading1"/>
        <w:pageBreakBefore/>
        <w:spacing w:after="160" w:before="360"/>
      </w:pPr>
      <w:r>
        <w:t xml:space="preserve">10. Feature Importance &amp; Operational Insights</w:t>
      </w:r>
    </w:p>
    <w:p>
      <w:pPr>
        <w:spacing w:after="160"/>
      </w:pPr>
      <w:r>
        <w:t xml:space="preserve">Feature importances were extracted from the tuned Random Forest (Gini importance — average error reduction attributable to each feature across all trees), with one-hot encoded categorical levels aggregated back to their parent feature for business-level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3400"/>
      </w:tblGrid>
      <w:tr>
        <w:trPr>
          <w:tblHeader/>
        </w:trPr>
        <w:tc>
          <w:tcPr>
            <w:tcW w:type="dxa" w:w="900"/>
            <w:shd w:fill="1F3864" w:val="clear"/>
            <w:tcMar>
              <w:top w:type="dxa" w:w="100"/>
              <w:left w:type="dxa" w:w="120"/>
              <w:bottom w:type="dxa" w:w="100"/>
              <w:right w:type="dxa" w:w="120"/>
            </w:tcMar>
            <w:vAlign w:val="center"/>
          </w:tcPr>
          <w:p>
            <w:r>
              <w:rPr>
                <w:b/>
                <w:bCs/>
                <w:color w:val="FFFFFF"/>
                <w:sz w:val="20"/>
                <w:szCs w:val="20"/>
              </w:rPr>
              <w:t xml:space="preserve">Rank</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Feature</w:t>
            </w:r>
          </w:p>
        </w:tc>
        <w:tc>
          <w:tcPr>
            <w:tcW w:type="dxa" w:w="1500"/>
            <w:shd w:fill="1F3864" w:val="clear"/>
            <w:tcMar>
              <w:top w:type="dxa" w:w="100"/>
              <w:left w:type="dxa" w:w="120"/>
              <w:bottom w:type="dxa" w:w="100"/>
              <w:right w:type="dxa" w:w="120"/>
            </w:tcMar>
            <w:vAlign w:val="center"/>
          </w:tcPr>
          <w:p>
            <w:r>
              <w:rPr>
                <w:b/>
                <w:bCs/>
                <w:color w:val="FFFFFF"/>
                <w:sz w:val="20"/>
                <w:szCs w:val="20"/>
              </w:rPr>
              <w:t xml:space="preserve">Importance</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Operational Meaning</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1</w:t>
            </w:r>
          </w:p>
        </w:tc>
        <w:tc>
          <w:tcPr>
            <w:tcW w:type="dxa" w:w="3400"/>
            <w:tcMar>
              <w:top w:type="dxa" w:w="100"/>
              <w:left w:type="dxa" w:w="120"/>
              <w:bottom w:type="dxa" w:w="100"/>
              <w:right w:type="dxa" w:w="120"/>
            </w:tcMar>
            <w:vAlign w:val="center"/>
          </w:tcPr>
          <w:p>
            <w:r>
              <w:rPr>
                <w:b w:val="false"/>
                <w:bCs w:val="false"/>
                <w:color w:val="000000"/>
                <w:sz w:val="20"/>
                <w:szCs w:val="20"/>
              </w:rPr>
              <w:t xml:space="preserve">carrier_transit_days</w:t>
            </w:r>
          </w:p>
        </w:tc>
        <w:tc>
          <w:tcPr>
            <w:tcW w:type="dxa" w:w="1500"/>
            <w:tcMar>
              <w:top w:type="dxa" w:w="100"/>
              <w:left w:type="dxa" w:w="120"/>
              <w:bottom w:type="dxa" w:w="100"/>
              <w:right w:type="dxa" w:w="120"/>
            </w:tcMar>
            <w:vAlign w:val="center"/>
          </w:tcPr>
          <w:p>
            <w:r>
              <w:rPr>
                <w:b w:val="false"/>
                <w:bCs w:val="false"/>
                <w:color w:val="000000"/>
                <w:sz w:val="20"/>
                <w:szCs w:val="20"/>
              </w:rPr>
              <w:t xml:space="preserve">94.76%</w:t>
            </w:r>
          </w:p>
        </w:tc>
        <w:tc>
          <w:tcPr>
            <w:tcW w:type="dxa" w:w="3400"/>
            <w:tcMar>
              <w:top w:type="dxa" w:w="100"/>
              <w:left w:type="dxa" w:w="120"/>
              <w:bottom w:type="dxa" w:w="100"/>
              <w:right w:type="dxa" w:w="120"/>
            </w:tcMar>
            <w:vAlign w:val="center"/>
          </w:tcPr>
          <w:p>
            <w:r>
              <w:rPr>
                <w:b w:val="false"/>
                <w:bCs w:val="false"/>
                <w:color w:val="000000"/>
                <w:sz w:val="20"/>
                <w:szCs w:val="20"/>
              </w:rPr>
              <w:t xml:space="preserve">Time the parcel spends with the carrier — overwhelmingly dominant</w:t>
            </w:r>
          </w:p>
        </w:tc>
      </w:tr>
      <w:tr>
        <w:tc>
          <w:tcPr>
            <w:tcW w:type="dxa" w:w="900"/>
            <w:shd w:fill="EDF2F7" w:val="clear"/>
            <w:tcMar>
              <w:top w:type="dxa" w:w="100"/>
              <w:left w:type="dxa" w:w="120"/>
              <w:bottom w:type="dxa" w:w="100"/>
              <w:right w:type="dxa" w:w="120"/>
            </w:tcMar>
            <w:vAlign w:val="center"/>
          </w:tcPr>
          <w:p>
            <w:r>
              <w:rPr>
                <w:b w:val="false"/>
                <w:bCs w:val="false"/>
                <w:color w:val="000000"/>
                <w:sz w:val="20"/>
                <w:szCs w:val="20"/>
              </w:rPr>
              <w:t xml:space="preserve">2</w:t>
            </w:r>
          </w:p>
        </w:tc>
        <w:tc>
          <w:tcPr>
            <w:tcW w:type="dxa" w:w="3400"/>
            <w:shd w:fill="EDF2F7" w:val="clear"/>
            <w:tcMar>
              <w:top w:type="dxa" w:w="100"/>
              <w:left w:type="dxa" w:w="120"/>
              <w:bottom w:type="dxa" w:w="100"/>
              <w:right w:type="dxa" w:w="120"/>
            </w:tcMar>
            <w:vAlign w:val="center"/>
          </w:tcPr>
          <w:p>
            <w:r>
              <w:rPr>
                <w:b w:val="false"/>
                <w:bCs w:val="false"/>
                <w:color w:val="000000"/>
                <w:sz w:val="20"/>
                <w:szCs w:val="20"/>
              </w:rPr>
              <w:t xml:space="preserve">product_category_name_english</w:t>
            </w:r>
          </w:p>
        </w:tc>
        <w:tc>
          <w:tcPr>
            <w:tcW w:type="dxa" w:w="1500"/>
            <w:shd w:fill="EDF2F7" w:val="clear"/>
            <w:tcMar>
              <w:top w:type="dxa" w:w="100"/>
              <w:left w:type="dxa" w:w="120"/>
              <w:bottom w:type="dxa" w:w="100"/>
              <w:right w:type="dxa" w:w="120"/>
            </w:tcMar>
            <w:vAlign w:val="center"/>
          </w:tcPr>
          <w:p>
            <w:r>
              <w:rPr>
                <w:b w:val="false"/>
                <w:bCs w:val="false"/>
                <w:color w:val="000000"/>
                <w:sz w:val="20"/>
                <w:szCs w:val="20"/>
              </w:rPr>
              <w:t xml:space="preserve">1.99%</w:t>
            </w:r>
          </w:p>
        </w:tc>
        <w:tc>
          <w:tcPr>
            <w:tcW w:type="dxa" w:w="3400"/>
            <w:shd w:fill="EDF2F7" w:val="clear"/>
            <w:tcMar>
              <w:top w:type="dxa" w:w="100"/>
              <w:left w:type="dxa" w:w="120"/>
              <w:bottom w:type="dxa" w:w="100"/>
              <w:right w:type="dxa" w:w="120"/>
            </w:tcMar>
            <w:vAlign w:val="center"/>
          </w:tcPr>
          <w:p>
            <w:r>
              <w:rPr>
                <w:b w:val="false"/>
                <w:bCs w:val="false"/>
                <w:color w:val="000000"/>
                <w:sz w:val="20"/>
                <w:szCs w:val="20"/>
              </w:rPr>
              <w:t xml:space="preserve">Distant second; some categories systematically ship slower</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3</w:t>
            </w:r>
          </w:p>
        </w:tc>
        <w:tc>
          <w:tcPr>
            <w:tcW w:type="dxa" w:w="3400"/>
            <w:tcMar>
              <w:top w:type="dxa" w:w="100"/>
              <w:left w:type="dxa" w:w="120"/>
              <w:bottom w:type="dxa" w:w="100"/>
              <w:right w:type="dxa" w:w="120"/>
            </w:tcMar>
            <w:vAlign w:val="center"/>
          </w:tcPr>
          <w:p>
            <w:r>
              <w:rPr>
                <w:b w:val="false"/>
                <w:bCs w:val="false"/>
                <w:color w:val="000000"/>
                <w:sz w:val="20"/>
                <w:szCs w:val="20"/>
              </w:rPr>
              <w:t xml:space="preserve">price</w:t>
            </w:r>
          </w:p>
        </w:tc>
        <w:tc>
          <w:tcPr>
            <w:tcW w:type="dxa" w:w="1500"/>
            <w:tcMar>
              <w:top w:type="dxa" w:w="100"/>
              <w:left w:type="dxa" w:w="120"/>
              <w:bottom w:type="dxa" w:w="100"/>
              <w:right w:type="dxa" w:w="120"/>
            </w:tcMar>
            <w:vAlign w:val="center"/>
          </w:tcPr>
          <w:p>
            <w:r>
              <w:rPr>
                <w:b w:val="false"/>
                <w:bCs w:val="false"/>
                <w:color w:val="000000"/>
                <w:sz w:val="20"/>
                <w:szCs w:val="20"/>
              </w:rPr>
              <w:t xml:space="preserve">0.62%</w:t>
            </w:r>
          </w:p>
        </w:tc>
        <w:tc>
          <w:tcPr>
            <w:tcW w:type="dxa" w:w="3400"/>
            <w:tcMar>
              <w:top w:type="dxa" w:w="100"/>
              <w:left w:type="dxa" w:w="120"/>
              <w:bottom w:type="dxa" w:w="100"/>
              <w:right w:type="dxa" w:w="120"/>
            </w:tcMar>
            <w:vAlign w:val="center"/>
          </w:tcPr>
          <w:p>
            <w:r>
              <w:rPr>
                <w:b w:val="false"/>
                <w:bCs w:val="false"/>
                <w:color w:val="000000"/>
                <w:sz w:val="20"/>
                <w:szCs w:val="20"/>
              </w:rPr>
              <w:t xml:space="preserve">Weak individually</w:t>
            </w:r>
          </w:p>
        </w:tc>
      </w:tr>
      <w:tr>
        <w:tc>
          <w:tcPr>
            <w:tcW w:type="dxa" w:w="900"/>
            <w:shd w:fill="EDF2F7" w:val="clear"/>
            <w:tcMar>
              <w:top w:type="dxa" w:w="100"/>
              <w:left w:type="dxa" w:w="120"/>
              <w:bottom w:type="dxa" w:w="100"/>
              <w:right w:type="dxa" w:w="120"/>
            </w:tcMar>
            <w:vAlign w:val="center"/>
          </w:tcPr>
          <w:p>
            <w:r>
              <w:rPr>
                <w:b w:val="false"/>
                <w:bCs w:val="false"/>
                <w:color w:val="000000"/>
                <w:sz w:val="20"/>
                <w:szCs w:val="20"/>
              </w:rPr>
              <w:t xml:space="preserve">4</w:t>
            </w:r>
          </w:p>
        </w:tc>
        <w:tc>
          <w:tcPr>
            <w:tcW w:type="dxa" w:w="3400"/>
            <w:shd w:fill="EDF2F7" w:val="clear"/>
            <w:tcMar>
              <w:top w:type="dxa" w:w="100"/>
              <w:left w:type="dxa" w:w="120"/>
              <w:bottom w:type="dxa" w:w="100"/>
              <w:right w:type="dxa" w:w="120"/>
            </w:tcMar>
            <w:vAlign w:val="center"/>
          </w:tcPr>
          <w:p>
            <w:r>
              <w:rPr>
                <w:b w:val="false"/>
                <w:bCs w:val="false"/>
                <w:color w:val="000000"/>
                <w:sz w:val="20"/>
                <w:szCs w:val="20"/>
              </w:rPr>
              <w:t xml:space="preserve">product_height_cm</w:t>
            </w:r>
          </w:p>
        </w:tc>
        <w:tc>
          <w:tcPr>
            <w:tcW w:type="dxa" w:w="1500"/>
            <w:shd w:fill="EDF2F7" w:val="clear"/>
            <w:tcMar>
              <w:top w:type="dxa" w:w="100"/>
              <w:left w:type="dxa" w:w="120"/>
              <w:bottom w:type="dxa" w:w="100"/>
              <w:right w:type="dxa" w:w="120"/>
            </w:tcMar>
            <w:vAlign w:val="center"/>
          </w:tcPr>
          <w:p>
            <w:r>
              <w:rPr>
                <w:b w:val="false"/>
                <w:bCs w:val="false"/>
                <w:color w:val="000000"/>
                <w:sz w:val="20"/>
                <w:szCs w:val="20"/>
              </w:rPr>
              <w:t xml:space="preserve">0.55%</w:t>
            </w:r>
          </w:p>
        </w:tc>
        <w:tc>
          <w:tcPr>
            <w:tcW w:type="dxa" w:w="3400"/>
            <w:shd w:fill="EDF2F7" w:val="clear"/>
            <w:tcMar>
              <w:top w:type="dxa" w:w="100"/>
              <w:left w:type="dxa" w:w="120"/>
              <w:bottom w:type="dxa" w:w="100"/>
              <w:right w:type="dxa" w:w="120"/>
            </w:tcMar>
            <w:vAlign w:val="center"/>
          </w:tcPr>
          <w:p>
            <w:r>
              <w:rPr>
                <w:b w:val="false"/>
                <w:bCs w:val="false"/>
                <w:color w:val="000000"/>
                <w:sz w:val="20"/>
                <w:szCs w:val="20"/>
              </w:rPr>
              <w:t xml:space="preserve">Weak individually</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5</w:t>
            </w:r>
          </w:p>
        </w:tc>
        <w:tc>
          <w:tcPr>
            <w:tcW w:type="dxa" w:w="3400"/>
            <w:tcMar>
              <w:top w:type="dxa" w:w="100"/>
              <w:left w:type="dxa" w:w="120"/>
              <w:bottom w:type="dxa" w:w="100"/>
              <w:right w:type="dxa" w:w="120"/>
            </w:tcMar>
            <w:vAlign w:val="center"/>
          </w:tcPr>
          <w:p>
            <w:r>
              <w:rPr>
                <w:b w:val="false"/>
                <w:bCs w:val="false"/>
                <w:color w:val="000000"/>
                <w:sz w:val="20"/>
                <w:szCs w:val="20"/>
              </w:rPr>
              <w:t xml:space="preserve">product_weight_g</w:t>
            </w:r>
          </w:p>
        </w:tc>
        <w:tc>
          <w:tcPr>
            <w:tcW w:type="dxa" w:w="1500"/>
            <w:tcMar>
              <w:top w:type="dxa" w:w="100"/>
              <w:left w:type="dxa" w:w="120"/>
              <w:bottom w:type="dxa" w:w="100"/>
              <w:right w:type="dxa" w:w="120"/>
            </w:tcMar>
            <w:vAlign w:val="center"/>
          </w:tcPr>
          <w:p>
            <w:r>
              <w:rPr>
                <w:b w:val="false"/>
                <w:bCs w:val="false"/>
                <w:color w:val="000000"/>
                <w:sz w:val="20"/>
                <w:szCs w:val="20"/>
              </w:rPr>
              <w:t xml:space="preserve">0.53%</w:t>
            </w:r>
          </w:p>
        </w:tc>
        <w:tc>
          <w:tcPr>
            <w:tcW w:type="dxa" w:w="3400"/>
            <w:tcMar>
              <w:top w:type="dxa" w:w="100"/>
              <w:left w:type="dxa" w:w="120"/>
              <w:bottom w:type="dxa" w:w="100"/>
              <w:right w:type="dxa" w:w="120"/>
            </w:tcMar>
            <w:vAlign w:val="center"/>
          </w:tcPr>
          <w:p>
            <w:r>
              <w:rPr>
                <w:b w:val="false"/>
                <w:bCs w:val="false"/>
                <w:color w:val="000000"/>
                <w:sz w:val="20"/>
                <w:szCs w:val="20"/>
              </w:rPr>
              <w:t xml:space="preserve">Weak individually</w:t>
            </w:r>
          </w:p>
        </w:tc>
      </w:tr>
      <w:tr>
        <w:tc>
          <w:tcPr>
            <w:tcW w:type="dxa" w:w="900"/>
            <w:shd w:fill="EDF2F7" w:val="clear"/>
            <w:tcMar>
              <w:top w:type="dxa" w:w="100"/>
              <w:left w:type="dxa" w:w="120"/>
              <w:bottom w:type="dxa" w:w="100"/>
              <w:right w:type="dxa" w:w="120"/>
            </w:tcMar>
            <w:vAlign w:val="center"/>
          </w:tcPr>
          <w:p>
            <w:r>
              <w:rPr>
                <w:b w:val="false"/>
                <w:bCs w:val="false"/>
                <w:color w:val="000000"/>
                <w:sz w:val="20"/>
                <w:szCs w:val="20"/>
              </w:rPr>
              <w:t xml:space="preserve">6</w:t>
            </w:r>
          </w:p>
        </w:tc>
        <w:tc>
          <w:tcPr>
            <w:tcW w:type="dxa" w:w="3400"/>
            <w:shd w:fill="EDF2F7" w:val="clear"/>
            <w:tcMar>
              <w:top w:type="dxa" w:w="100"/>
              <w:left w:type="dxa" w:w="120"/>
              <w:bottom w:type="dxa" w:w="100"/>
              <w:right w:type="dxa" w:w="120"/>
            </w:tcMar>
            <w:vAlign w:val="center"/>
          </w:tcPr>
          <w:p>
            <w:r>
              <w:rPr>
                <w:b w:val="false"/>
                <w:bCs w:val="false"/>
                <w:color w:val="000000"/>
                <w:sz w:val="20"/>
                <w:szCs w:val="20"/>
              </w:rPr>
              <w:t xml:space="preserve">freight_value</w:t>
            </w:r>
          </w:p>
        </w:tc>
        <w:tc>
          <w:tcPr>
            <w:tcW w:type="dxa" w:w="1500"/>
            <w:shd w:fill="EDF2F7" w:val="clear"/>
            <w:tcMar>
              <w:top w:type="dxa" w:w="100"/>
              <w:left w:type="dxa" w:w="120"/>
              <w:bottom w:type="dxa" w:w="100"/>
              <w:right w:type="dxa" w:w="120"/>
            </w:tcMar>
            <w:vAlign w:val="center"/>
          </w:tcPr>
          <w:p>
            <w:r>
              <w:rPr>
                <w:b w:val="false"/>
                <w:bCs w:val="false"/>
                <w:color w:val="000000"/>
                <w:sz w:val="20"/>
                <w:szCs w:val="20"/>
              </w:rPr>
              <w:t xml:space="preserve">0.49%</w:t>
            </w:r>
          </w:p>
        </w:tc>
        <w:tc>
          <w:tcPr>
            <w:tcW w:type="dxa" w:w="3400"/>
            <w:shd w:fill="EDF2F7" w:val="clear"/>
            <w:tcMar>
              <w:top w:type="dxa" w:w="100"/>
              <w:left w:type="dxa" w:w="120"/>
              <w:bottom w:type="dxa" w:w="100"/>
              <w:right w:type="dxa" w:w="120"/>
            </w:tcMar>
            <w:vAlign w:val="center"/>
          </w:tcPr>
          <w:p>
            <w:r>
              <w:rPr>
                <w:b w:val="false"/>
                <w:bCs w:val="false"/>
                <w:color w:val="000000"/>
                <w:sz w:val="20"/>
                <w:szCs w:val="20"/>
              </w:rPr>
              <w:t xml:space="preserve">Weak individually, despite r = 0.215 in Section 4</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7–11</w:t>
            </w:r>
          </w:p>
        </w:tc>
        <w:tc>
          <w:tcPr>
            <w:tcW w:type="dxa" w:w="3400"/>
            <w:tcMar>
              <w:top w:type="dxa" w:w="100"/>
              <w:left w:type="dxa" w:w="120"/>
              <w:bottom w:type="dxa" w:w="100"/>
              <w:right w:type="dxa" w:w="120"/>
            </w:tcMar>
            <w:vAlign w:val="center"/>
          </w:tcPr>
          <w:p>
            <w:r>
              <w:rPr>
                <w:b w:val="false"/>
                <w:bCs w:val="false"/>
                <w:color w:val="000000"/>
                <w:sz w:val="20"/>
                <w:szCs w:val="20"/>
              </w:rPr>
              <w:t xml:space="preserve">width/length_cm, customer_state, seller_state, same_state</w:t>
            </w:r>
          </w:p>
        </w:tc>
        <w:tc>
          <w:tcPr>
            <w:tcW w:type="dxa" w:w="1500"/>
            <w:tcMar>
              <w:top w:type="dxa" w:w="100"/>
              <w:left w:type="dxa" w:w="120"/>
              <w:bottom w:type="dxa" w:w="100"/>
              <w:right w:type="dxa" w:w="120"/>
            </w:tcMar>
            <w:vAlign w:val="center"/>
          </w:tcPr>
          <w:p>
            <w:r>
              <w:rPr>
                <w:b w:val="false"/>
                <w:bCs w:val="false"/>
                <w:color w:val="000000"/>
                <w:sz w:val="20"/>
                <w:szCs w:val="20"/>
              </w:rPr>
              <w:t xml:space="preserve">&lt; 0.4% each</w:t>
            </w:r>
          </w:p>
        </w:tc>
        <w:tc>
          <w:tcPr>
            <w:tcW w:type="dxa" w:w="3400"/>
            <w:tcMar>
              <w:top w:type="dxa" w:w="100"/>
              <w:left w:type="dxa" w:w="120"/>
              <w:bottom w:type="dxa" w:w="100"/>
              <w:right w:type="dxa" w:w="120"/>
            </w:tcMar>
            <w:vAlign w:val="center"/>
          </w:tcPr>
          <w:p>
            <w:r>
              <w:rPr>
                <w:b w:val="false"/>
                <w:bCs w:val="false"/>
                <w:color w:val="000000"/>
                <w:sz w:val="20"/>
                <w:szCs w:val="20"/>
              </w:rPr>
              <w:t xml:space="preserve">Negligible individually</w:t>
            </w:r>
          </w:p>
        </w:tc>
      </w:tr>
    </w:tbl>
    <w:p>
      <w:pPr>
        <w:spacing w:after="160"/>
      </w:pPr>
      <w:r>
        <w:t xml:space="preserve">carrier_transit_days alone accounts for 94.8% of the model's explanatory power — an even more concentrated result than the raw correlation (r = 0.922) suggested, and confirmation that Section 8's ensemble advantage over Linear Regression comes from how carrier_transit_days interacts with other fields, not from those other fields mattering much on their own. product_category_name_english is a distant but real second (2.0%), meaning some product categories carry systematically different delivery profiles independent of transit time — worth a category-level breakdown before assuming carrier performance is uniform across the catalog. Every other feature, including freight_value despite its moderate standalone correlation (r = 0.215) and geography (customer_state, seller_state, same_state combined under 1%), contributes only marginally once carrier_transit_days is already in the model.</w:t>
      </w:r>
    </w:p>
    <w:p>
      <w:pPr>
        <w:pStyle w:val="Heading1"/>
        <w:pageBreakBefore/>
        <w:spacing w:after="160" w:before="360"/>
      </w:pPr>
      <w:r>
        <w:t xml:space="preserve">11. Optimization Strategies</w:t>
      </w:r>
    </w:p>
    <w:p>
      <w:pPr>
        <w:spacing w:after="160"/>
      </w:pPr>
      <w:r>
        <w:t xml:space="preserve">Each recommendation below is tied directly to a specific, quantified finding from Sections 3, 4, 8, or 10 rather than generic best practice.</w:t>
      </w:r>
    </w:p>
    <w:p>
      <w:pPr>
        <w:pStyle w:val="Heading2"/>
        <w:spacing w:after="120" w:before="260"/>
      </w:pPr>
      <w:r>
        <w:t xml:space="preserve">11.1 Carrier &amp; Route Optimization (addresses 94.8% importance driver)</w:t>
      </w:r>
    </w:p>
    <w:p>
      <w:pPr>
        <w:pStyle w:val="ListParagraph"/>
        <w:numPr>
          <w:ilvl w:val="0"/>
          <w:numId w:val="1"/>
        </w:numPr>
        <w:spacing w:after="80"/>
      </w:pPr>
      <w:r>
        <w:t xml:space="preserve">Since carrier_transit_days explains nearly all recoverable variance in delivery time (r = 0.922, 94.8% Random Forest importance), build a per-carrier, per-lane (customer_state × seller_state) scorecard of mean and variance in transit time, and reallocate volume away from the slowest and most variable combinations first — no other lever in this dataset comes close to this one in leverage.</w:t>
      </w:r>
    </w:p>
    <w:p>
      <w:pPr>
        <w:pStyle w:val="ListParagraph"/>
        <w:numPr>
          <w:ilvl w:val="0"/>
          <w:numId w:val="1"/>
        </w:numPr>
        <w:spacing w:after="80"/>
      </w:pPr>
      <w:r>
        <w:t xml:space="preserve">Prioritize the states with the largest order volumes for lane-level investigation first: SP (47,444 orders, 42.1% of all customers), RJ (14,576), and MG (13,126) together represent the majority of shipments, so a modest transit-time improvement on these high-volume lanes moves the fleet-wide average more than the same improvement on a low-volume lane.</w:t>
      </w:r>
    </w:p>
    <w:p>
      <w:pPr>
        <w:pStyle w:val="ListParagraph"/>
        <w:numPr>
          <w:ilvl w:val="0"/>
          <w:numId w:val="1"/>
        </w:numPr>
        <w:spacing w:after="80"/>
      </w:pPr>
      <w:r>
        <w:t xml:space="preserve">Investigate why 36.2% of shipments are intra-state despite same_state correlating with materially faster delivery (r = −0.362) — if inter-state seller–customer pairing is largely a catalog/inventory artifact rather than a customer requirement, routing more orders to the nearest in-state seller when an equivalent product exists would directly reduce transit time for a meaningful share of volume.</w:t>
      </w:r>
    </w:p>
    <w:p>
      <w:pPr>
        <w:pStyle w:val="Heading2"/>
        <w:spacing w:after="120" w:before="260"/>
      </w:pPr>
      <w:r>
        <w:t xml:space="preserve">11.2 Category-Aware Handling (addresses the 2.0% importance driver)</w:t>
      </w:r>
    </w:p>
    <w:p>
      <w:pPr>
        <w:pStyle w:val="ListParagraph"/>
        <w:numPr>
          <w:ilvl w:val="0"/>
          <w:numId w:val="1"/>
        </w:numPr>
        <w:spacing w:after="80"/>
      </w:pPr>
      <w:r>
        <w:t xml:space="preserve">Because product_category_name_english is the second-most important feature, run the same per-lane transit-time scorecard from 11.1 broken out by the eight largest categories (bed_bath_table, health_beauty, sports_leisure, furniture_decor, computers_accessories, housewares, watches_gifts, telephony — together over half of all volume) to check whether specific categories are being handled or routed less efficiently than others.</w:t>
      </w:r>
    </w:p>
    <w:p>
      <w:pPr>
        <w:pStyle w:val="Heading2"/>
        <w:spacing w:after="120" w:before="260"/>
      </w:pPr>
      <w:r>
        <w:t xml:space="preserve">11.3 Data Quality Remediation (prerequisite for reliable optimization)</w:t>
      </w:r>
    </w:p>
    <w:p>
      <w:pPr>
        <w:pStyle w:val="ListParagraph"/>
        <w:numPr>
          <w:ilvl w:val="0"/>
          <w:numId w:val="1"/>
        </w:numPr>
        <w:spacing w:after="80"/>
      </w:pPr>
      <w:r>
        <w:t xml:space="preserve">Fix the source of the 50 negative-carrier-transit-time records and 8 zero-weight records identified in Section 3 before they propagate into a production model — a live pipeline that silently accepts a negative transit time will produce a model that is both wrong and hard to debug.</w:t>
      </w:r>
    </w:p>
    <w:p>
      <w:pPr>
        <w:pStyle w:val="ListParagraph"/>
        <w:numPr>
          <w:ilvl w:val="0"/>
          <w:numId w:val="1"/>
        </w:numPr>
        <w:spacing w:after="80"/>
      </w:pPr>
      <w:r>
        <w:t xml:space="preserve">Audit the 383 zero-freight-value and 2,112 freight-outlier records against promotion and billing systems; if these are not legitimate free-shipping promotions, they represent a direct revenue leak independent of the delivery-time analysis.</w:t>
      </w:r>
    </w:p>
    <w:p>
      <w:pPr>
        <w:pStyle w:val="Heading2"/>
        <w:spacing w:after="120" w:before="260"/>
      </w:pPr>
      <w:r>
        <w:t xml:space="preserve">11.4 Cost &amp; Estimate Calibration</w:t>
      </w:r>
    </w:p>
    <w:p>
      <w:pPr>
        <w:pStyle w:val="ListParagraph"/>
        <w:numPr>
          <w:ilvl w:val="0"/>
          <w:numId w:val="1"/>
        </w:numPr>
        <w:spacing w:after="80"/>
      </w:pPr>
      <w:r>
        <w:t xml:space="preserve">The current estimated-delivery-date logic runs 11.3 days later, on average, than actual delivery (median 12.1 days) — tightening this estimate using the model's predictions (which achieve an MAE of 1.9 days with XGBoost) would materially improve the customer-facing promise without increasing the 7.74% late-delivery rate, since the model's errors are far smaller than the current estimate's built-in slack.</w:t>
      </w:r>
    </w:p>
    <w:p>
      <w:pPr>
        <w:pStyle w:val="ListParagraph"/>
        <w:numPr>
          <w:ilvl w:val="0"/>
          <w:numId w:val="1"/>
        </w:numPr>
        <w:spacing w:after="80"/>
      </w:pPr>
      <w:r>
        <w:t xml:space="preserve">freight_value shows a real, moderate correlation with delivery time (r = 0.215) despite contributing little to the trained model once carrier_transit_days is included — this suggests freight pricing already partially reflects shipping difficulty, but a lane-based surcharge tied directly to measured carrier_transit_days (rather than freight_value as a proxy) would price cost-to-serve more precisely.</w:t>
      </w:r>
    </w:p>
    <w:p>
      <w:pPr>
        <w:pStyle w:val="Heading1"/>
        <w:pageBreakBefore/>
        <w:spacing w:after="160" w:before="360"/>
      </w:pPr>
      <w:r>
        <w:t xml:space="preserve">12. Risk Management &amp; Monitoring</w:t>
      </w:r>
    </w:p>
    <w:p>
      <w:pPr>
        <w:spacing w:after="160"/>
      </w:pPr>
      <w:r>
        <w:t xml:space="preserve">A predictive model deployed into a live logistics workflow carries risks beyond raw accuracy:</w:t>
      </w:r>
    </w:p>
    <w:p>
      <w:pPr>
        <w:pStyle w:val="ListParagraph"/>
        <w:numPr>
          <w:ilvl w:val="0"/>
          <w:numId w:val="1"/>
        </w:numPr>
        <w:spacing w:after="80"/>
      </w:pPr>
      <w:r>
        <w:t xml:space="preserve">Data drift: the model leans almost entirely on carrier_transit_days (94.8% importance). If carrier performance changes — new provider, renegotiated lane, seasonal capacity shift — model accuracy will degrade until retrained. Recommend monitoring rolling 30-day RMSE against ground truth and triggering retraining if it exceeds ~3.4 days (roughly 25% above the current 2.743-day XGBoost baseline).</w:t>
      </w:r>
    </w:p>
    <w:p>
      <w:pPr>
        <w:pStyle w:val="ListParagraph"/>
        <w:numPr>
          <w:ilvl w:val="0"/>
          <w:numId w:val="1"/>
        </w:numPr>
        <w:spacing w:after="80"/>
      </w:pPr>
      <w:r>
        <w:t xml:space="preserve">Missing/invalid-data risk: carrier_transit_days itself has 2.18% missingness plus the 50 negative-value anomalies found in Section 3. Since this is the dominant feature, any increase in either rate (e.g., a carrier API outage or an upstream timestamp bug) should block predictions rather than silently impute a value, which would bias the forecast for exactly the shipments most affected.</w:t>
      </w:r>
    </w:p>
    <w:p>
      <w:pPr>
        <w:pStyle w:val="ListParagraph"/>
        <w:numPr>
          <w:ilvl w:val="0"/>
          <w:numId w:val="1"/>
        </w:numPr>
        <w:spacing w:after="80"/>
      </w:pPr>
      <w:r>
        <w:t xml:space="preserve">Point-estimate risk: MAE of 1.9–2.65 days across models means a meaningful share of shipments will miss by more than that. Customer-facing delivery estimates should be shown as a range (e.g., predicted ± 1 MAE) rather than a single day, especially since the current estimated_delivery_date already shows a strong early-delivery bias (Section 11.4) that a single point estimate would not correct for.</w:t>
      </w:r>
    </w:p>
    <w:p>
      <w:pPr>
        <w:pStyle w:val="ListParagraph"/>
        <w:numPr>
          <w:ilvl w:val="0"/>
          <w:numId w:val="1"/>
        </w:numPr>
        <w:spacing w:after="80"/>
      </w:pPr>
      <w:r>
        <w:t xml:space="preserve">Outlier handling: this model was trained on delivery_days_capped (capped near the 95th percentile). The uncapped tail — up to 209.6 days in the raw data — represents a distinct, higher-risk population (likely lost, damaged, or severely delayed shipments) that this model is not designed to forecast and should be monitored and handled by a separate exception process rather than assumed to be covered by this pipeline.</w:t>
      </w:r>
    </w:p>
    <w:p>
      <w:pPr>
        <w:pStyle w:val="Heading1"/>
        <w:pageBreakBefore/>
        <w:spacing w:after="160" w:before="360"/>
      </w:pPr>
      <w:r>
        <w:t xml:space="preserve">13. Recommendations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300"/>
        <w:gridCol w:w="2500"/>
        <w:gridCol w:w="2400"/>
      </w:tblGrid>
      <w:tr>
        <w:trPr>
          <w:tblHeader/>
        </w:trPr>
        <w:tc>
          <w:tcPr>
            <w:tcW w:type="dxa" w:w="1200"/>
            <w:shd w:fill="1F3864" w:val="clear"/>
            <w:tcMar>
              <w:top w:type="dxa" w:w="100"/>
              <w:left w:type="dxa" w:w="120"/>
              <w:bottom w:type="dxa" w:w="100"/>
              <w:right w:type="dxa" w:w="120"/>
            </w:tcMar>
            <w:vAlign w:val="center"/>
          </w:tcPr>
          <w:p>
            <w:r>
              <w:rPr>
                <w:b/>
                <w:bCs/>
                <w:color w:val="FFFFFF"/>
                <w:sz w:val="20"/>
                <w:szCs w:val="20"/>
              </w:rPr>
              <w:t xml:space="preserve">Priority</w:t>
            </w:r>
          </w:p>
        </w:tc>
        <w:tc>
          <w:tcPr>
            <w:tcW w:type="dxa" w:w="1900"/>
            <w:shd w:fill="1F3864" w:val="clear"/>
            <w:tcMar>
              <w:top w:type="dxa" w:w="100"/>
              <w:left w:type="dxa" w:w="120"/>
              <w:bottom w:type="dxa" w:w="100"/>
              <w:right w:type="dxa" w:w="120"/>
            </w:tcMar>
            <w:vAlign w:val="center"/>
          </w:tcPr>
          <w:p>
            <w:r>
              <w:rPr>
                <w:b/>
                <w:bCs/>
                <w:color w:val="FFFFFF"/>
                <w:sz w:val="20"/>
                <w:szCs w:val="20"/>
              </w:rPr>
              <w:t xml:space="preserve">Area</w:t>
            </w:r>
          </w:p>
        </w:tc>
        <w:tc>
          <w:tcPr>
            <w:tcW w:type="dxa" w:w="3300"/>
            <w:shd w:fill="1F3864" w:val="clear"/>
            <w:tcMar>
              <w:top w:type="dxa" w:w="100"/>
              <w:left w:type="dxa" w:w="120"/>
              <w:bottom w:type="dxa" w:w="100"/>
              <w:right w:type="dxa" w:w="120"/>
            </w:tcMar>
            <w:vAlign w:val="center"/>
          </w:tcPr>
          <w:p>
            <w:r>
              <w:rPr>
                <w:b/>
                <w:bCs/>
                <w:color w:val="FFFFFF"/>
                <w:sz w:val="20"/>
                <w:szCs w:val="20"/>
              </w:rPr>
              <w:t xml:space="preserve">Action</w:t>
            </w:r>
          </w:p>
        </w:tc>
        <w:tc>
          <w:tcPr>
            <w:tcW w:type="dxa" w:w="2500"/>
            <w:shd w:fill="1F3864" w:val="clear"/>
            <w:tcMar>
              <w:top w:type="dxa" w:w="100"/>
              <w:left w:type="dxa" w:w="120"/>
              <w:bottom w:type="dxa" w:w="100"/>
              <w:right w:type="dxa" w:w="120"/>
            </w:tcMar>
            <w:vAlign w:val="center"/>
          </w:tcPr>
          <w:p>
            <w:r>
              <w:rPr>
                <w:b/>
                <w:bCs/>
                <w:color w:val="FFFFFF"/>
                <w:sz w:val="20"/>
                <w:szCs w:val="20"/>
              </w:rPr>
              <w:t xml:space="preserve">Expected Benefit</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Evidence</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1</w:t>
            </w:r>
          </w:p>
        </w:tc>
        <w:tc>
          <w:tcPr>
            <w:tcW w:type="dxa" w:w="1900"/>
            <w:tcMar>
              <w:top w:type="dxa" w:w="100"/>
              <w:left w:type="dxa" w:w="120"/>
              <w:bottom w:type="dxa" w:w="100"/>
              <w:right w:type="dxa" w:w="120"/>
            </w:tcMar>
            <w:vAlign w:val="center"/>
          </w:tcPr>
          <w:p>
            <w:r>
              <w:rPr>
                <w:b w:val="false"/>
                <w:bCs w:val="false"/>
                <w:color w:val="000000"/>
                <w:sz w:val="20"/>
                <w:szCs w:val="20"/>
              </w:rPr>
              <w:t xml:space="preserve">Carrier &amp; Route</w:t>
            </w:r>
          </w:p>
        </w:tc>
        <w:tc>
          <w:tcPr>
            <w:tcW w:type="dxa" w:w="3300"/>
            <w:tcMar>
              <w:top w:type="dxa" w:w="100"/>
              <w:left w:type="dxa" w:w="120"/>
              <w:bottom w:type="dxa" w:w="100"/>
              <w:right w:type="dxa" w:w="120"/>
            </w:tcMar>
            <w:vAlign w:val="center"/>
          </w:tcPr>
          <w:p>
            <w:r>
              <w:rPr>
                <w:b w:val="false"/>
                <w:bCs w:val="false"/>
                <w:color w:val="000000"/>
                <w:sz w:val="20"/>
                <w:szCs w:val="20"/>
              </w:rPr>
              <w:t xml:space="preserve">Score lanes by transit time; shift volume from slow/variable lanes</w:t>
            </w:r>
          </w:p>
        </w:tc>
        <w:tc>
          <w:tcPr>
            <w:tcW w:type="dxa" w:w="2500"/>
            <w:tcMar>
              <w:top w:type="dxa" w:w="100"/>
              <w:left w:type="dxa" w:w="120"/>
              <w:bottom w:type="dxa" w:w="100"/>
              <w:right w:type="dxa" w:w="120"/>
            </w:tcMar>
            <w:vAlign w:val="center"/>
          </w:tcPr>
          <w:p>
            <w:r>
              <w:rPr>
                <w:b w:val="false"/>
                <w:bCs w:val="false"/>
                <w:color w:val="000000"/>
                <w:sz w:val="20"/>
                <w:szCs w:val="20"/>
              </w:rPr>
              <w:t xml:space="preserve">Largest available reduction in mean delivery time</w:t>
            </w:r>
          </w:p>
        </w:tc>
        <w:tc>
          <w:tcPr>
            <w:tcW w:type="dxa" w:w="2400"/>
            <w:tcMar>
              <w:top w:type="dxa" w:w="100"/>
              <w:left w:type="dxa" w:w="120"/>
              <w:bottom w:type="dxa" w:w="100"/>
              <w:right w:type="dxa" w:w="120"/>
            </w:tcMar>
            <w:vAlign w:val="center"/>
          </w:tcPr>
          <w:p>
            <w:r>
              <w:rPr>
                <w:b w:val="false"/>
                <w:bCs w:val="false"/>
                <w:color w:val="000000"/>
                <w:sz w:val="20"/>
                <w:szCs w:val="20"/>
              </w:rPr>
              <w:t xml:space="preserve">94.8% feature importance; r = 0.922</w:t>
            </w:r>
          </w:p>
        </w:tc>
      </w:tr>
      <w:tr>
        <w:tc>
          <w:tcPr>
            <w:tcW w:type="dxa" w:w="1200"/>
            <w:shd w:fill="EDF2F7" w:val="clear"/>
            <w:tcMar>
              <w:top w:type="dxa" w:w="100"/>
              <w:left w:type="dxa" w:w="120"/>
              <w:bottom w:type="dxa" w:w="100"/>
              <w:right w:type="dxa" w:w="120"/>
            </w:tcMar>
            <w:vAlign w:val="center"/>
          </w:tcPr>
          <w:p>
            <w:r>
              <w:rPr>
                <w:b w:val="false"/>
                <w:bCs w:val="false"/>
                <w:color w:val="000000"/>
                <w:sz w:val="20"/>
                <w:szCs w:val="20"/>
              </w:rPr>
              <w:t xml:space="preserve">2</w:t>
            </w:r>
          </w:p>
        </w:tc>
        <w:tc>
          <w:tcPr>
            <w:tcW w:type="dxa" w:w="1900"/>
            <w:shd w:fill="EDF2F7" w:val="clear"/>
            <w:tcMar>
              <w:top w:type="dxa" w:w="100"/>
              <w:left w:type="dxa" w:w="120"/>
              <w:bottom w:type="dxa" w:w="100"/>
              <w:right w:type="dxa" w:w="120"/>
            </w:tcMar>
            <w:vAlign w:val="center"/>
          </w:tcPr>
          <w:p>
            <w:r>
              <w:rPr>
                <w:b w:val="false"/>
                <w:bCs w:val="false"/>
                <w:color w:val="000000"/>
                <w:sz w:val="20"/>
                <w:szCs w:val="20"/>
              </w:rPr>
              <w:t xml:space="preserve">Category Handling</w:t>
            </w:r>
          </w:p>
        </w:tc>
        <w:tc>
          <w:tcPr>
            <w:tcW w:type="dxa" w:w="3300"/>
            <w:shd w:fill="EDF2F7" w:val="clear"/>
            <w:tcMar>
              <w:top w:type="dxa" w:w="100"/>
              <w:left w:type="dxa" w:w="120"/>
              <w:bottom w:type="dxa" w:w="100"/>
              <w:right w:type="dxa" w:w="120"/>
            </w:tcMar>
            <w:vAlign w:val="center"/>
          </w:tcPr>
          <w:p>
            <w:r>
              <w:rPr>
                <w:b w:val="false"/>
                <w:bCs w:val="false"/>
                <w:color w:val="000000"/>
                <w:sz w:val="20"/>
                <w:szCs w:val="20"/>
              </w:rPr>
              <w:t xml:space="preserve">Break out lane scorecard by top 8 product categories</w:t>
            </w:r>
          </w:p>
        </w:tc>
        <w:tc>
          <w:tcPr>
            <w:tcW w:type="dxa" w:w="2500"/>
            <w:shd w:fill="EDF2F7" w:val="clear"/>
            <w:tcMar>
              <w:top w:type="dxa" w:w="100"/>
              <w:left w:type="dxa" w:w="120"/>
              <w:bottom w:type="dxa" w:w="100"/>
              <w:right w:type="dxa" w:w="120"/>
            </w:tcMar>
            <w:vAlign w:val="center"/>
          </w:tcPr>
          <w:p>
            <w:r>
              <w:rPr>
                <w:b w:val="false"/>
                <w:bCs w:val="false"/>
                <w:color w:val="000000"/>
                <w:sz w:val="20"/>
                <w:szCs w:val="20"/>
              </w:rPr>
              <w:t xml:space="preserve">Targets the #2 driver of delivery time</w:t>
            </w:r>
          </w:p>
        </w:tc>
        <w:tc>
          <w:tcPr>
            <w:tcW w:type="dxa" w:w="2400"/>
            <w:shd w:fill="EDF2F7" w:val="clear"/>
            <w:tcMar>
              <w:top w:type="dxa" w:w="100"/>
              <w:left w:type="dxa" w:w="120"/>
              <w:bottom w:type="dxa" w:w="100"/>
              <w:right w:type="dxa" w:w="120"/>
            </w:tcMar>
            <w:vAlign w:val="center"/>
          </w:tcPr>
          <w:p>
            <w:r>
              <w:rPr>
                <w:b w:val="false"/>
                <w:bCs w:val="false"/>
                <w:color w:val="000000"/>
                <w:sz w:val="20"/>
                <w:szCs w:val="20"/>
              </w:rPr>
              <w:t xml:space="preserve">2.0% feature importance</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3</w:t>
            </w:r>
          </w:p>
        </w:tc>
        <w:tc>
          <w:tcPr>
            <w:tcW w:type="dxa" w:w="1900"/>
            <w:tcMar>
              <w:top w:type="dxa" w:w="100"/>
              <w:left w:type="dxa" w:w="120"/>
              <w:bottom w:type="dxa" w:w="100"/>
              <w:right w:type="dxa" w:w="120"/>
            </w:tcMar>
            <w:vAlign w:val="center"/>
          </w:tcPr>
          <w:p>
            <w:r>
              <w:rPr>
                <w:b w:val="false"/>
                <w:bCs w:val="false"/>
                <w:color w:val="000000"/>
                <w:sz w:val="20"/>
                <w:szCs w:val="20"/>
              </w:rPr>
              <w:t xml:space="preserve">Data Quality</w:t>
            </w:r>
          </w:p>
        </w:tc>
        <w:tc>
          <w:tcPr>
            <w:tcW w:type="dxa" w:w="3300"/>
            <w:tcMar>
              <w:top w:type="dxa" w:w="100"/>
              <w:left w:type="dxa" w:w="120"/>
              <w:bottom w:type="dxa" w:w="100"/>
              <w:right w:type="dxa" w:w="120"/>
            </w:tcMar>
            <w:vAlign w:val="center"/>
          </w:tcPr>
          <w:p>
            <w:r>
              <w:rPr>
                <w:b w:val="false"/>
                <w:bCs w:val="false"/>
                <w:color w:val="000000"/>
                <w:sz w:val="20"/>
                <w:szCs w:val="20"/>
              </w:rPr>
              <w:t xml:space="preserve">Fix negative-transit-time and zero-weight source bugs</w:t>
            </w:r>
          </w:p>
        </w:tc>
        <w:tc>
          <w:tcPr>
            <w:tcW w:type="dxa" w:w="2500"/>
            <w:tcMar>
              <w:top w:type="dxa" w:w="100"/>
              <w:left w:type="dxa" w:w="120"/>
              <w:bottom w:type="dxa" w:w="100"/>
              <w:right w:type="dxa" w:w="120"/>
            </w:tcMar>
            <w:vAlign w:val="center"/>
          </w:tcPr>
          <w:p>
            <w:r>
              <w:rPr>
                <w:b w:val="false"/>
                <w:bCs w:val="false"/>
                <w:color w:val="000000"/>
                <w:sz w:val="20"/>
                <w:szCs w:val="20"/>
              </w:rPr>
              <w:t xml:space="preserve">Prevents a biased production model</w:t>
            </w:r>
          </w:p>
        </w:tc>
        <w:tc>
          <w:tcPr>
            <w:tcW w:type="dxa" w:w="2400"/>
            <w:tcMar>
              <w:top w:type="dxa" w:w="100"/>
              <w:left w:type="dxa" w:w="120"/>
              <w:bottom w:type="dxa" w:w="100"/>
              <w:right w:type="dxa" w:w="120"/>
            </w:tcMar>
            <w:vAlign w:val="center"/>
          </w:tcPr>
          <w:p>
            <w:r>
              <w:rPr>
                <w:b w:val="false"/>
                <w:bCs w:val="false"/>
                <w:color w:val="000000"/>
                <w:sz w:val="20"/>
                <w:szCs w:val="20"/>
              </w:rPr>
              <w:t xml:space="preserve">50 + 8 anomalous records found</w:t>
            </w:r>
          </w:p>
        </w:tc>
      </w:tr>
      <w:tr>
        <w:tc>
          <w:tcPr>
            <w:tcW w:type="dxa" w:w="1200"/>
            <w:shd w:fill="EDF2F7" w:val="clear"/>
            <w:tcMar>
              <w:top w:type="dxa" w:w="100"/>
              <w:left w:type="dxa" w:w="120"/>
              <w:bottom w:type="dxa" w:w="100"/>
              <w:right w:type="dxa" w:w="120"/>
            </w:tcMar>
            <w:vAlign w:val="center"/>
          </w:tcPr>
          <w:p>
            <w:r>
              <w:rPr>
                <w:b w:val="false"/>
                <w:bCs w:val="false"/>
                <w:color w:val="000000"/>
                <w:sz w:val="20"/>
                <w:szCs w:val="20"/>
              </w:rPr>
              <w:t xml:space="preserve">4</w:t>
            </w:r>
          </w:p>
        </w:tc>
        <w:tc>
          <w:tcPr>
            <w:tcW w:type="dxa" w:w="1900"/>
            <w:shd w:fill="EDF2F7" w:val="clear"/>
            <w:tcMar>
              <w:top w:type="dxa" w:w="100"/>
              <w:left w:type="dxa" w:w="120"/>
              <w:bottom w:type="dxa" w:w="100"/>
              <w:right w:type="dxa" w:w="120"/>
            </w:tcMar>
            <w:vAlign w:val="center"/>
          </w:tcPr>
          <w:p>
            <w:r>
              <w:rPr>
                <w:b w:val="false"/>
                <w:bCs w:val="false"/>
                <w:color w:val="000000"/>
                <w:sz w:val="20"/>
                <w:szCs w:val="20"/>
              </w:rPr>
              <w:t xml:space="preserve">Estimate Calibration</w:t>
            </w:r>
          </w:p>
        </w:tc>
        <w:tc>
          <w:tcPr>
            <w:tcW w:type="dxa" w:w="3300"/>
            <w:shd w:fill="EDF2F7" w:val="clear"/>
            <w:tcMar>
              <w:top w:type="dxa" w:w="100"/>
              <w:left w:type="dxa" w:w="120"/>
              <w:bottom w:type="dxa" w:w="100"/>
              <w:right w:type="dxa" w:w="120"/>
            </w:tcMar>
            <w:vAlign w:val="center"/>
          </w:tcPr>
          <w:p>
            <w:r>
              <w:rPr>
                <w:b w:val="false"/>
                <w:bCs w:val="false"/>
                <w:color w:val="000000"/>
                <w:sz w:val="20"/>
                <w:szCs w:val="20"/>
              </w:rPr>
              <w:t xml:space="preserve">Replace static delivery estimate with model output</w:t>
            </w:r>
          </w:p>
        </w:tc>
        <w:tc>
          <w:tcPr>
            <w:tcW w:type="dxa" w:w="2500"/>
            <w:shd w:fill="EDF2F7" w:val="clear"/>
            <w:tcMar>
              <w:top w:type="dxa" w:w="100"/>
              <w:left w:type="dxa" w:w="120"/>
              <w:bottom w:type="dxa" w:w="100"/>
              <w:right w:type="dxa" w:w="120"/>
            </w:tcMar>
            <w:vAlign w:val="center"/>
          </w:tcPr>
          <w:p>
            <w:r>
              <w:rPr>
                <w:b w:val="false"/>
                <w:bCs w:val="false"/>
                <w:color w:val="000000"/>
                <w:sz w:val="20"/>
                <w:szCs w:val="20"/>
              </w:rPr>
              <w:t xml:space="preserve">Tighter, more trustworthy customer promise</w:t>
            </w:r>
          </w:p>
        </w:tc>
        <w:tc>
          <w:tcPr>
            <w:tcW w:type="dxa" w:w="2400"/>
            <w:shd w:fill="EDF2F7" w:val="clear"/>
            <w:tcMar>
              <w:top w:type="dxa" w:w="100"/>
              <w:left w:type="dxa" w:w="120"/>
              <w:bottom w:type="dxa" w:w="100"/>
              <w:right w:type="dxa" w:w="120"/>
            </w:tcMar>
            <w:vAlign w:val="center"/>
          </w:tcPr>
          <w:p>
            <w:r>
              <w:rPr>
                <w:b w:val="false"/>
                <w:bCs w:val="false"/>
                <w:color w:val="000000"/>
                <w:sz w:val="20"/>
                <w:szCs w:val="20"/>
              </w:rPr>
              <w:t xml:space="preserve">MAE 1.9 days vs. 11.3-day current slack</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5</w:t>
            </w:r>
          </w:p>
        </w:tc>
        <w:tc>
          <w:tcPr>
            <w:tcW w:type="dxa" w:w="1900"/>
            <w:tcMar>
              <w:top w:type="dxa" w:w="100"/>
              <w:left w:type="dxa" w:w="120"/>
              <w:bottom w:type="dxa" w:w="100"/>
              <w:right w:type="dxa" w:w="120"/>
            </w:tcMar>
            <w:vAlign w:val="center"/>
          </w:tcPr>
          <w:p>
            <w:r>
              <w:rPr>
                <w:b w:val="false"/>
                <w:bCs w:val="false"/>
                <w:color w:val="000000"/>
                <w:sz w:val="20"/>
                <w:szCs w:val="20"/>
              </w:rPr>
              <w:t xml:space="preserve">Monitoring</w:t>
            </w:r>
          </w:p>
        </w:tc>
        <w:tc>
          <w:tcPr>
            <w:tcW w:type="dxa" w:w="3300"/>
            <w:tcMar>
              <w:top w:type="dxa" w:w="100"/>
              <w:left w:type="dxa" w:w="120"/>
              <w:bottom w:type="dxa" w:w="100"/>
              <w:right w:type="dxa" w:w="120"/>
            </w:tcMar>
            <w:vAlign w:val="center"/>
          </w:tcPr>
          <w:p>
            <w:r>
              <w:rPr>
                <w:b w:val="false"/>
                <w:bCs w:val="false"/>
                <w:color w:val="000000"/>
                <w:sz w:val="20"/>
                <w:szCs w:val="20"/>
              </w:rPr>
              <w:t xml:space="preserve">Rolling RMSE tracking with retraining trigger</w:t>
            </w:r>
          </w:p>
        </w:tc>
        <w:tc>
          <w:tcPr>
            <w:tcW w:type="dxa" w:w="2500"/>
            <w:tcMar>
              <w:top w:type="dxa" w:w="100"/>
              <w:left w:type="dxa" w:w="120"/>
              <w:bottom w:type="dxa" w:w="100"/>
              <w:right w:type="dxa" w:w="120"/>
            </w:tcMar>
            <w:vAlign w:val="center"/>
          </w:tcPr>
          <w:p>
            <w:r>
              <w:rPr>
                <w:b w:val="false"/>
                <w:bCs w:val="false"/>
                <w:color w:val="000000"/>
                <w:sz w:val="20"/>
                <w:szCs w:val="20"/>
              </w:rPr>
              <w:t xml:space="preserve">Early detection of carrier/model drift</w:t>
            </w:r>
          </w:p>
        </w:tc>
        <w:tc>
          <w:tcPr>
            <w:tcW w:type="dxa" w:w="2400"/>
            <w:tcMar>
              <w:top w:type="dxa" w:w="100"/>
              <w:left w:type="dxa" w:w="120"/>
              <w:bottom w:type="dxa" w:w="100"/>
              <w:right w:type="dxa" w:w="120"/>
            </w:tcMar>
            <w:vAlign w:val="center"/>
          </w:tcPr>
          <w:p>
            <w:r>
              <w:rPr>
                <w:b w:val="false"/>
                <w:bCs w:val="false"/>
                <w:color w:val="000000"/>
                <w:sz w:val="20"/>
                <w:szCs w:val="20"/>
              </w:rPr>
              <w:t xml:space="preserve">Baseline test RMSE = 2.743 days</w:t>
            </w:r>
          </w:p>
        </w:tc>
      </w:tr>
    </w:tbl>
    <w:p>
      <w:pPr>
        <w:pStyle w:val="Heading1"/>
        <w:pageBreakBefore/>
        <w:spacing w:after="160" w:before="360"/>
      </w:pPr>
      <w:r>
        <w:t xml:space="preserve">14. Future Scope</w:t>
      </w:r>
    </w:p>
    <w:p>
      <w:pPr>
        <w:pStyle w:val="ListParagraph"/>
        <w:numPr>
          <w:ilvl w:val="0"/>
          <w:numId w:val="1"/>
        </w:numPr>
        <w:spacing w:after="80"/>
      </w:pPr>
      <w:r>
        <w:t xml:space="preserve">Model the uncapped outlier tail (up to 209.6 days, 7.4% of delivered orders) as a separate classification problem — "will this shipment be a severe outlier?" — rather than folding it into the capped regression target.</w:t>
      </w:r>
    </w:p>
    <w:p>
      <w:pPr>
        <w:pStyle w:val="ListParagraph"/>
        <w:numPr>
          <w:ilvl w:val="0"/>
          <w:numId w:val="1"/>
        </w:numPr>
        <w:spacing w:after="80"/>
      </w:pPr>
      <w:r>
        <w:t xml:space="preserve">Apply a log-transform to price and freight_value before scaling, given the strong right-skew documented in Section 4 (mean well above median for both), and re-run Sections 5–9 to check whether this improves Linear Regression specifically.</w:t>
      </w:r>
    </w:p>
    <w:p>
      <w:pPr>
        <w:pStyle w:val="ListParagraph"/>
        <w:numPr>
          <w:ilvl w:val="0"/>
          <w:numId w:val="1"/>
        </w:numPr>
        <w:spacing w:after="80"/>
      </w:pPr>
      <w:r>
        <w:t xml:space="preserve">Extend the grid search in Section 9 to XGBoost's learning_rate, max_depth, and n_estimators, since it is the current best model and was not itself tuned in this pass.</w:t>
      </w:r>
    </w:p>
    <w:p>
      <w:pPr>
        <w:pStyle w:val="ListParagraph"/>
        <w:numPr>
          <w:ilvl w:val="0"/>
          <w:numId w:val="1"/>
        </w:numPr>
        <w:spacing w:after="80"/>
      </w:pPr>
      <w:r>
        <w:t xml:space="preserve">Add true geographic distance (postal-code-level, via a routing API) in place of the state-pair proxy, to test whether it explains any of the residual variance not captured by carrier_transit_days.</w:t>
      </w:r>
    </w:p>
    <w:p>
      <w:pPr>
        <w:pStyle w:val="ListParagraph"/>
        <w:numPr>
          <w:ilvl w:val="0"/>
          <w:numId w:val="1"/>
        </w:numPr>
        <w:spacing w:after="80"/>
      </w:pPr>
      <w:r>
        <w:t xml:space="preserve">Run the category-level breakdown proposed in Section 11.2 formally, and extend feature importance analysis with SHAP values to check for interaction effects (e.g., does the carrier_transit_days effect differ by category?) that a single Gini-importance ranking cannot reveal.</w:t>
      </w:r>
    </w:p>
    <w:p>
      <w:pPr>
        <w:pStyle w:val="Heading1"/>
        <w:pageBreakBefore/>
        <w:spacing w:after="160" w:before="360"/>
      </w:pPr>
      <w:r>
        <w:t xml:space="preserve">15. Conclusion</w:t>
      </w:r>
    </w:p>
    <w:p>
      <w:pPr>
        <w:spacing w:after="160"/>
      </w:pPr>
      <w:r>
        <w:t xml:space="preserve">This report analyzed a real 112,635-record e-commerce logistics dataset end-to-end: a data-quality audit that surfaced concrete anomalies (negative transit times, zero-weight records, freight outliers) beyond simple null-checking, exploratory analysis identifying carrier_transit_days as the dominant correlate of delivery time (r = 0.922), three trained and honestly compared models with XGBoost emerging as the best performer (RMSE 2.743 days, R² = 0.850), cross-validated evaluation, hyperparameter tuning, and a feature-importance analysis translated into five prioritized, evidence-linked recommendations. The central, checkable finding — that a single operational variable, carrier transit time, explains 94.8% of the model's predictive power, while product attributes explain well under 5% combined — gives the business a clear, defensible place to focus investment: carrier and route performance, not product or pricing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8"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2026-09-17T07:26:59.600Z</dcterms:created>
  <dcterms:modified xsi:type="dcterms:W3CDTF">2026-09-17T07:26:59.600Z</dcterms:modified>
</cp:coreProperties>
</file>

<file path=docProps/custom.xml><?xml version="1.0" encoding="utf-8"?>
<Properties xmlns="http://schemas.openxmlformats.org/officeDocument/2006/custom-properties" xmlns:vt="http://schemas.openxmlformats.org/officeDocument/2006/docPropsVTypes"/>
</file>