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B57"/>
          <w:sz w:val="44"/>
          <w:szCs w:val="44"/>
        </w:rPr>
        <w:t xml:space="preserve">Advanced Data Analysis and Visualization</w:t>
      </w:r>
    </w:p>
    <w:p>
      <w:pPr>
        <w:spacing w:after="400"/>
        <w:jc w:val="center"/>
      </w:pPr>
      <w:r>
        <w:rPr>
          <w:b/>
          <w:bCs/>
          <w:color w:val="1F3B57"/>
          <w:sz w:val="44"/>
          <w:szCs w:val="44"/>
        </w:rPr>
        <w:t xml:space="preserve">in Logistics Operations</w:t>
      </w:r>
    </w:p>
    <w:p>
      <w:pPr>
        <w:spacing w:after="100"/>
        <w:jc w:val="center"/>
      </w:pPr>
      <w:r>
        <w:rPr>
          <w:i/>
          <w:iCs/>
          <w:color w:val="595959"/>
          <w:sz w:val="26"/>
          <w:szCs w:val="26"/>
        </w:rPr>
        <w:t xml:space="preserve">An Exploratory and Analytical Study of E-Commerce Delivery Performance</w:t>
      </w:r>
    </w:p>
    <w:p>
      <w:pPr>
        <w:spacing w:before="800"/>
        <w:jc w:val="center"/>
      </w:pPr>
      <w:r>
        <w:rPr>
          <w:color w:val="595959"/>
          <w:sz w:val="22"/>
          <w:szCs w:val="22"/>
        </w:rPr>
        <w:t xml:space="preserve">Week 3 Task — Logistics Data Analytics</w:t>
      </w:r>
    </w:p>
    <w:p>
      <w:pPr>
        <w:spacing w:before="100"/>
        <w:jc w:val="center"/>
      </w:pPr>
      <w:r>
        <w:rPr>
          <w:color w:val="595959"/>
          <w:sz w:val="20"/>
          <w:szCs w:val="20"/>
        </w:rPr>
        <w:t xml:space="preserve">Dataset: logistics_clean.csv  |  112,635 order-item records  |  Sept 2016 – Sept 2018</w:t>
      </w:r>
    </w:p>
    <w:p>
      <w:pPr>
        <w:spacing w:before="100"/>
        <w:jc w:val="center"/>
      </w:pPr>
      <w:r>
        <w:rPr>
          <w:color w:val="595959"/>
          <w:sz w:val="20"/>
          <w:szCs w:val="20"/>
        </w:rPr>
        <w:t xml:space="preserve">Prepared with Python (pandas, matplotlib, seaborn)</w:t>
      </w:r>
    </w:p>
    <w:p>
      <w:r>
        <w:br w:type="page"/>
      </w:r>
    </w:p>
    <w:p>
      <w:pPr>
        <w:pStyle w:val="Heading1"/>
        <w:spacing w:after="200" w:before="400"/>
      </w:pPr>
      <w:r>
        <w:t xml:space="preserve">Executive Summary</w:t>
      </w:r>
    </w:p>
    <w:p>
      <w:pPr>
        <w:spacing w:after="160" w:line="276"/>
      </w:pPr>
      <w:r>
        <w:rPr>
          <w:sz w:val="22"/>
          <w:szCs w:val="22"/>
        </w:rPr>
        <w:t xml:space="preserve">This report analyzes 112,635 order-item records from an e-commerce logistics operation spanning September 2016 to September 2018, covering 98,652 unique orders, 32,948 products, 3,095 sellers, and 72 product categories. The analysis combines exploratory data analysis (EDA) with a series of purpose-built visualizations to surface patterns in delivery performance, shipping cost drivers, and geographic bottlenecks.</w:t>
      </w:r>
    </w:p>
    <w:p>
      <w:pPr>
        <w:spacing w:after="160" w:line="276"/>
      </w:pPr>
      <w:r>
        <w:rPr>
          <w:sz w:val="22"/>
          <w:szCs w:val="22"/>
        </w:rPr>
        <w:t xml:space="preserve">Key findings:</w:t>
      </w:r>
    </w:p>
    <w:p>
      <w:pPr>
        <w:pStyle w:val="ListParagraph"/>
        <w:numPr>
          <w:ilvl w:val="0"/>
          <w:numId w:val="1"/>
        </w:numPr>
        <w:spacing w:after="90"/>
      </w:pPr>
      <w:r>
        <w:t xml:space="preserve">The median delivery time is 10.2 days (mean 12.5 days), and the large majority of orders arrive ahead of the estimated delivery date — only 7.9% of delivered orders arrive later than promised.</w:t>
      </w:r>
    </w:p>
    <w:p>
      <w:pPr>
        <w:pStyle w:val="ListParagraph"/>
        <w:numPr>
          <w:ilvl w:val="0"/>
          <w:numId w:val="1"/>
        </w:numPr>
        <w:spacing w:after="90"/>
      </w:pPr>
      <w:r>
        <w:t xml:space="preserve">Carrier transit time is the dominant driver of total delivery time (correlation r = 0.92 with delivery_days), far outweighing product price or weight.</w:t>
      </w:r>
    </w:p>
    <w:p>
      <w:pPr>
        <w:pStyle w:val="ListParagraph"/>
        <w:numPr>
          <w:ilvl w:val="0"/>
          <w:numId w:val="1"/>
        </w:numPr>
        <w:spacing w:after="90"/>
      </w:pPr>
      <w:r>
        <w:t xml:space="preserve">Shipments where the seller and customer are in the same state deliver in 7.9 days on average versus 15.0 days for cross-state shipments, and are roughly 40% less likely to be late (6.0% vs 9.0%).</w:t>
      </w:r>
    </w:p>
    <w:p>
      <w:pPr>
        <w:pStyle w:val="ListParagraph"/>
        <w:numPr>
          <w:ilvl w:val="0"/>
          <w:numId w:val="1"/>
        </w:numPr>
        <w:spacing w:after="90"/>
      </w:pPr>
      <w:r>
        <w:t xml:space="preserve">Geography is a major bottleneck: customers in Bahia (BA), Espírito Santo (ES), and Goiás (GO) experience the longest average delivery times (15–19 days) and the highest late-delivery rates (up to 13.7%), while São Paulo (SP) — the largest and most seller-dense state — enjoys the fastest, most reliable service (8.7 days, 5.8% late).</w:t>
      </w:r>
    </w:p>
    <w:p>
      <w:pPr>
        <w:pStyle w:val="ListParagraph"/>
        <w:numPr>
          <w:ilvl w:val="0"/>
          <w:numId w:val="1"/>
        </w:numPr>
        <w:spacing w:after="90"/>
      </w:pPr>
      <w:r>
        <w:t xml:space="preserve">Freight cost scales with product weight (r = 0.61) and, to a lesser degree, with product price (r = 0.41), consistent with weight-based carrier pricing; only 1.9% of shipments are flagged as freight-cost outliers.</w:t>
      </w:r>
    </w:p>
    <w:p>
      <w:pPr>
        <w:pStyle w:val="ListParagraph"/>
        <w:numPr>
          <w:ilvl w:val="0"/>
          <w:numId w:val="1"/>
        </w:numPr>
        <w:spacing w:after="90"/>
      </w:pPr>
      <w:r>
        <w:t xml:space="preserve">Order volume grew steadily over the observed period, peaking sharply in November 2017 (Black Friday season), which stresses the fulfillment network and is a natural candidate for proactive capacity planning.</w:t>
      </w:r>
    </w:p>
    <w:p>
      <w:pPr>
        <w:spacing w:after="160" w:line="276"/>
      </w:pPr>
      <w:r>
        <w:rPr>
          <w:sz w:val="22"/>
          <w:szCs w:val="22"/>
        </w:rPr>
        <w:t xml:space="preserve">These findings point to concrete, prioritized recommendations for reducing delivery time variance and cost, detailed in Section 6.</w:t>
      </w:r>
    </w:p>
    <w:p>
      <w:r>
        <w:br w:type="page"/>
      </w:r>
    </w:p>
    <w:p>
      <w:pPr>
        <w:pStyle w:val="Heading1"/>
        <w:spacing w:after="200" w:before="400"/>
      </w:pPr>
      <w:r>
        <w:t xml:space="preserve">1. Objective</w:t>
      </w:r>
    </w:p>
    <w:p>
      <w:pPr>
        <w:spacing w:after="160" w:line="276"/>
      </w:pPr>
      <w:r>
        <w:rPr>
          <w:sz w:val="22"/>
          <w:szCs w:val="22"/>
        </w:rPr>
        <w:t xml:space="preserve">The objective of this analysis is to deepen practical data-analytics skills by exploring a real-world logistics dataset end-to-end: understanding its structure, conducting rigorous exploratory analysis, building visualizations that reveal operational patterns, and translating those patterns into actionable insights for logistics decision-makers. The exercise emphasizes data-driven decision-making — using quantitative evidence, rather than intuition, to identify where a logistics network is performing well and where it is exposed to delay or cost risk.</w:t>
      </w:r>
    </w:p>
    <w:p>
      <w:pPr>
        <w:pStyle w:val="Heading1"/>
        <w:spacing w:after="200" w:before="400"/>
      </w:pPr>
      <w:r>
        <w:t xml:space="preserve">2. Dataset Structure</w:t>
      </w:r>
    </w:p>
    <w:p>
      <w:pPr>
        <w:spacing w:after="160" w:line="276"/>
      </w:pPr>
      <w:r>
        <w:rPr>
          <w:sz w:val="22"/>
          <w:szCs w:val="22"/>
        </w:rPr>
        <w:t xml:space="preserve">The dataset (logistics_clean.csv) represents order-item-level records from an e-commerce fulfillment operation. Each row corresponds to one item within a customer order, together with product, seller, pricing, and delivery-timing attributes. The table below summarizes the key variables used in this analysis.</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5340"/>
      </w:tblGrid>
      <w:tr>
        <w:trPr>
          <w:tblHeader/>
        </w:trPr>
        <w:tc>
          <w:tcPr>
            <w:tcW w:type="dxa" w:w="3400"/>
            <w:shd w:fill="1F3B57" w:val="clear"/>
            <w:tcMar>
              <w:top w:type="dxa" w:w="80"/>
              <w:left w:type="dxa" w:w="120"/>
              <w:bottom w:type="dxa" w:w="80"/>
              <w:right w:type="dxa" w:w="120"/>
            </w:tcMar>
            <w:vAlign w:val="center"/>
          </w:tcPr>
          <w:p>
            <w:pPr>
              <w:jc w:val="center"/>
            </w:pPr>
            <w:r>
              <w:rPr>
                <w:b/>
                <w:bCs/>
                <w:color w:val="FFFFFF"/>
                <w:sz w:val="20"/>
                <w:szCs w:val="20"/>
              </w:rPr>
              <w:t xml:space="preserve">Variable</w:t>
            </w:r>
          </w:p>
        </w:tc>
        <w:tc>
          <w:tcPr>
            <w:tcW w:type="dxa" w:w="1800"/>
            <w:shd w:fill="1F3B57"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5340"/>
            <w:shd w:fill="1F3B57"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400"/>
            <w:tcMar>
              <w:top w:type="dxa" w:w="80"/>
              <w:left w:type="dxa" w:w="120"/>
              <w:bottom w:type="dxa" w:w="80"/>
              <w:right w:type="dxa" w:w="120"/>
            </w:tcMar>
            <w:vAlign w:val="center"/>
          </w:tcPr>
          <w:p>
            <w:pPr>
              <w:jc w:val="left"/>
            </w:pPr>
            <w:r>
              <w:rPr>
                <w:color w:val="1B1B1B"/>
                <w:sz w:val="20"/>
                <w:szCs w:val="20"/>
              </w:rPr>
              <w:t xml:space="preserve">order_id / order_item_id</w:t>
            </w:r>
          </w:p>
        </w:tc>
        <w:tc>
          <w:tcPr>
            <w:tcW w:type="dxa" w:w="1800"/>
            <w:tcMar>
              <w:top w:type="dxa" w:w="80"/>
              <w:left w:type="dxa" w:w="120"/>
              <w:bottom w:type="dxa" w:w="80"/>
              <w:right w:type="dxa" w:w="120"/>
            </w:tcMar>
            <w:vAlign w:val="center"/>
          </w:tcPr>
          <w:p>
            <w:pPr>
              <w:jc w:val="center"/>
            </w:pPr>
            <w:r>
              <w:rPr>
                <w:color w:val="1B1B1B"/>
                <w:sz w:val="20"/>
                <w:szCs w:val="20"/>
              </w:rPr>
              <w:t xml:space="preserve">ID</w:t>
            </w:r>
          </w:p>
        </w:tc>
        <w:tc>
          <w:tcPr>
            <w:tcW w:type="dxa" w:w="5340"/>
            <w:tcMar>
              <w:top w:type="dxa" w:w="80"/>
              <w:left w:type="dxa" w:w="120"/>
              <w:bottom w:type="dxa" w:w="80"/>
              <w:right w:type="dxa" w:w="120"/>
            </w:tcMar>
            <w:vAlign w:val="center"/>
          </w:tcPr>
          <w:p>
            <w:pPr>
              <w:jc w:val="center"/>
            </w:pPr>
            <w:r>
              <w:rPr>
                <w:color w:val="1B1B1B"/>
                <w:sz w:val="20"/>
                <w:szCs w:val="20"/>
              </w:rPr>
              <w:t xml:space="preserve">Unique order and line-item identifiers</w:t>
            </w:r>
          </w:p>
        </w:tc>
      </w:tr>
      <w:tr>
        <w:tc>
          <w:tcPr>
            <w:tcW w:type="dxa" w:w="3400"/>
            <w:tcMar>
              <w:top w:type="dxa" w:w="80"/>
              <w:left w:type="dxa" w:w="120"/>
              <w:bottom w:type="dxa" w:w="80"/>
              <w:right w:type="dxa" w:w="120"/>
            </w:tcMar>
            <w:vAlign w:val="center"/>
          </w:tcPr>
          <w:p>
            <w:pPr>
              <w:jc w:val="left"/>
            </w:pPr>
            <w:r>
              <w:rPr>
                <w:color w:val="1B1B1B"/>
                <w:sz w:val="20"/>
                <w:szCs w:val="20"/>
              </w:rPr>
              <w:t xml:space="preserve">order_status / is_delivered</w:t>
            </w:r>
          </w:p>
        </w:tc>
        <w:tc>
          <w:tcPr>
            <w:tcW w:type="dxa" w:w="1800"/>
            <w:tcMar>
              <w:top w:type="dxa" w:w="80"/>
              <w:left w:type="dxa" w:w="120"/>
              <w:bottom w:type="dxa" w:w="80"/>
              <w:right w:type="dxa" w:w="120"/>
            </w:tcMar>
            <w:vAlign w:val="center"/>
          </w:tcPr>
          <w:p>
            <w:pPr>
              <w:jc w:val="center"/>
            </w:pPr>
            <w:r>
              <w:rPr>
                <w:color w:val="1B1B1B"/>
                <w:sz w:val="20"/>
                <w:szCs w:val="20"/>
              </w:rPr>
              <w:t xml:space="preserve">Categorical</w:t>
            </w:r>
          </w:p>
        </w:tc>
        <w:tc>
          <w:tcPr>
            <w:tcW w:type="dxa" w:w="5340"/>
            <w:tcMar>
              <w:top w:type="dxa" w:w="80"/>
              <w:left w:type="dxa" w:w="120"/>
              <w:bottom w:type="dxa" w:w="80"/>
              <w:right w:type="dxa" w:w="120"/>
            </w:tcMar>
            <w:vAlign w:val="center"/>
          </w:tcPr>
          <w:p>
            <w:pPr>
              <w:jc w:val="center"/>
            </w:pPr>
            <w:r>
              <w:rPr>
                <w:color w:val="1B1B1B"/>
                <w:sz w:val="20"/>
                <w:szCs w:val="20"/>
              </w:rPr>
              <w:t xml:space="preserve">Order lifecycle status and delivered flag</w:t>
            </w:r>
          </w:p>
        </w:tc>
      </w:tr>
      <w:tr>
        <w:tc>
          <w:tcPr>
            <w:tcW w:type="dxa" w:w="3400"/>
            <w:tcMar>
              <w:top w:type="dxa" w:w="80"/>
              <w:left w:type="dxa" w:w="120"/>
              <w:bottom w:type="dxa" w:w="80"/>
              <w:right w:type="dxa" w:w="120"/>
            </w:tcMar>
            <w:vAlign w:val="center"/>
          </w:tcPr>
          <w:p>
            <w:pPr>
              <w:jc w:val="left"/>
            </w:pPr>
            <w:r>
              <w:rPr>
                <w:color w:val="1B1B1B"/>
                <w:sz w:val="20"/>
                <w:szCs w:val="20"/>
              </w:rPr>
              <w:t xml:space="preserve">product_category_name_english</w:t>
            </w:r>
          </w:p>
        </w:tc>
        <w:tc>
          <w:tcPr>
            <w:tcW w:type="dxa" w:w="1800"/>
            <w:tcMar>
              <w:top w:type="dxa" w:w="80"/>
              <w:left w:type="dxa" w:w="120"/>
              <w:bottom w:type="dxa" w:w="80"/>
              <w:right w:type="dxa" w:w="120"/>
            </w:tcMar>
            <w:vAlign w:val="center"/>
          </w:tcPr>
          <w:p>
            <w:pPr>
              <w:jc w:val="center"/>
            </w:pPr>
            <w:r>
              <w:rPr>
                <w:color w:val="1B1B1B"/>
                <w:sz w:val="20"/>
                <w:szCs w:val="20"/>
              </w:rPr>
              <w:t xml:space="preserve">Categorical</w:t>
            </w:r>
          </w:p>
        </w:tc>
        <w:tc>
          <w:tcPr>
            <w:tcW w:type="dxa" w:w="5340"/>
            <w:tcMar>
              <w:top w:type="dxa" w:w="80"/>
              <w:left w:type="dxa" w:w="120"/>
              <w:bottom w:type="dxa" w:w="80"/>
              <w:right w:type="dxa" w:w="120"/>
            </w:tcMar>
            <w:vAlign w:val="center"/>
          </w:tcPr>
          <w:p>
            <w:pPr>
              <w:jc w:val="center"/>
            </w:pPr>
            <w:r>
              <w:rPr>
                <w:color w:val="1B1B1B"/>
                <w:sz w:val="20"/>
                <w:szCs w:val="20"/>
              </w:rPr>
              <w:t xml:space="preserve">Product category (72 distinct values)</w:t>
            </w:r>
          </w:p>
        </w:tc>
      </w:tr>
      <w:tr>
        <w:tc>
          <w:tcPr>
            <w:tcW w:type="dxa" w:w="3400"/>
            <w:tcMar>
              <w:top w:type="dxa" w:w="80"/>
              <w:left w:type="dxa" w:w="120"/>
              <w:bottom w:type="dxa" w:w="80"/>
              <w:right w:type="dxa" w:w="120"/>
            </w:tcMar>
            <w:vAlign w:val="center"/>
          </w:tcPr>
          <w:p>
            <w:pPr>
              <w:jc w:val="left"/>
            </w:pPr>
            <w:r>
              <w:rPr>
                <w:color w:val="1B1B1B"/>
                <w:sz w:val="20"/>
                <w:szCs w:val="20"/>
              </w:rPr>
              <w:t xml:space="preserve">price / freight_value</w:t>
            </w:r>
          </w:p>
        </w:tc>
        <w:tc>
          <w:tcPr>
            <w:tcW w:type="dxa" w:w="1800"/>
            <w:tcMar>
              <w:top w:type="dxa" w:w="80"/>
              <w:left w:type="dxa" w:w="120"/>
              <w:bottom w:type="dxa" w:w="80"/>
              <w:right w:type="dxa" w:w="120"/>
            </w:tcMar>
            <w:vAlign w:val="center"/>
          </w:tcPr>
          <w:p>
            <w:pPr>
              <w:jc w:val="center"/>
            </w:pPr>
            <w:r>
              <w:rPr>
                <w:color w:val="1B1B1B"/>
                <w:sz w:val="20"/>
                <w:szCs w:val="20"/>
              </w:rPr>
              <w:t xml:space="preserve">Numeric (R$)</w:t>
            </w:r>
          </w:p>
        </w:tc>
        <w:tc>
          <w:tcPr>
            <w:tcW w:type="dxa" w:w="5340"/>
            <w:tcMar>
              <w:top w:type="dxa" w:w="80"/>
              <w:left w:type="dxa" w:w="120"/>
              <w:bottom w:type="dxa" w:w="80"/>
              <w:right w:type="dxa" w:w="120"/>
            </w:tcMar>
            <w:vAlign w:val="center"/>
          </w:tcPr>
          <w:p>
            <w:pPr>
              <w:jc w:val="center"/>
            </w:pPr>
            <w:r>
              <w:rPr>
                <w:color w:val="1B1B1B"/>
                <w:sz w:val="20"/>
                <w:szCs w:val="20"/>
              </w:rPr>
              <w:t xml:space="preserve">Item price and shipping cost</w:t>
            </w:r>
          </w:p>
        </w:tc>
      </w:tr>
      <w:tr>
        <w:tc>
          <w:tcPr>
            <w:tcW w:type="dxa" w:w="3400"/>
            <w:tcMar>
              <w:top w:type="dxa" w:w="80"/>
              <w:left w:type="dxa" w:w="120"/>
              <w:bottom w:type="dxa" w:w="80"/>
              <w:right w:type="dxa" w:w="120"/>
            </w:tcMar>
            <w:vAlign w:val="center"/>
          </w:tcPr>
          <w:p>
            <w:pPr>
              <w:jc w:val="left"/>
            </w:pPr>
            <w:r>
              <w:rPr>
                <w:color w:val="1B1B1B"/>
                <w:sz w:val="20"/>
                <w:szCs w:val="20"/>
              </w:rPr>
              <w:t xml:space="preserve">order_purchase_timestamp</w:t>
            </w:r>
          </w:p>
        </w:tc>
        <w:tc>
          <w:tcPr>
            <w:tcW w:type="dxa" w:w="1800"/>
            <w:tcMar>
              <w:top w:type="dxa" w:w="80"/>
              <w:left w:type="dxa" w:w="120"/>
              <w:bottom w:type="dxa" w:w="80"/>
              <w:right w:type="dxa" w:w="120"/>
            </w:tcMar>
            <w:vAlign w:val="center"/>
          </w:tcPr>
          <w:p>
            <w:pPr>
              <w:jc w:val="center"/>
            </w:pPr>
            <w:r>
              <w:rPr>
                <w:color w:val="1B1B1B"/>
                <w:sz w:val="20"/>
                <w:szCs w:val="20"/>
              </w:rPr>
              <w:t xml:space="preserve">Datetime</w:t>
            </w:r>
          </w:p>
        </w:tc>
        <w:tc>
          <w:tcPr>
            <w:tcW w:type="dxa" w:w="5340"/>
            <w:tcMar>
              <w:top w:type="dxa" w:w="80"/>
              <w:left w:type="dxa" w:w="120"/>
              <w:bottom w:type="dxa" w:w="80"/>
              <w:right w:type="dxa" w:w="120"/>
            </w:tcMar>
            <w:vAlign w:val="center"/>
          </w:tcPr>
          <w:p>
            <w:pPr>
              <w:jc w:val="center"/>
            </w:pPr>
            <w:r>
              <w:rPr>
                <w:color w:val="1B1B1B"/>
                <w:sz w:val="20"/>
                <w:szCs w:val="20"/>
              </w:rPr>
              <w:t xml:space="preserve">When the order was placed</w:t>
            </w:r>
          </w:p>
        </w:tc>
      </w:tr>
      <w:tr>
        <w:tc>
          <w:tcPr>
            <w:tcW w:type="dxa" w:w="3400"/>
            <w:tcMar>
              <w:top w:type="dxa" w:w="80"/>
              <w:left w:type="dxa" w:w="120"/>
              <w:bottom w:type="dxa" w:w="80"/>
              <w:right w:type="dxa" w:w="120"/>
            </w:tcMar>
            <w:vAlign w:val="center"/>
          </w:tcPr>
          <w:p>
            <w:pPr>
              <w:jc w:val="left"/>
            </w:pPr>
            <w:r>
              <w:rPr>
                <w:color w:val="1B1B1B"/>
                <w:sz w:val="20"/>
                <w:szCs w:val="20"/>
              </w:rPr>
              <w:t xml:space="preserve">order_delivered_customer_date</w:t>
            </w:r>
          </w:p>
        </w:tc>
        <w:tc>
          <w:tcPr>
            <w:tcW w:type="dxa" w:w="1800"/>
            <w:tcMar>
              <w:top w:type="dxa" w:w="80"/>
              <w:left w:type="dxa" w:w="120"/>
              <w:bottom w:type="dxa" w:w="80"/>
              <w:right w:type="dxa" w:w="120"/>
            </w:tcMar>
            <w:vAlign w:val="center"/>
          </w:tcPr>
          <w:p>
            <w:pPr>
              <w:jc w:val="center"/>
            </w:pPr>
            <w:r>
              <w:rPr>
                <w:color w:val="1B1B1B"/>
                <w:sz w:val="20"/>
                <w:szCs w:val="20"/>
              </w:rPr>
              <w:t xml:space="preserve">Datetime</w:t>
            </w:r>
          </w:p>
        </w:tc>
        <w:tc>
          <w:tcPr>
            <w:tcW w:type="dxa" w:w="5340"/>
            <w:tcMar>
              <w:top w:type="dxa" w:w="80"/>
              <w:left w:type="dxa" w:w="120"/>
              <w:bottom w:type="dxa" w:w="80"/>
              <w:right w:type="dxa" w:w="120"/>
            </w:tcMar>
            <w:vAlign w:val="center"/>
          </w:tcPr>
          <w:p>
            <w:pPr>
              <w:jc w:val="center"/>
            </w:pPr>
            <w:r>
              <w:rPr>
                <w:color w:val="1B1B1B"/>
                <w:sz w:val="20"/>
                <w:szCs w:val="20"/>
              </w:rPr>
              <w:t xml:space="preserve">When the customer received the order</w:t>
            </w:r>
          </w:p>
        </w:tc>
      </w:tr>
      <w:tr>
        <w:tc>
          <w:tcPr>
            <w:tcW w:type="dxa" w:w="3400"/>
            <w:tcMar>
              <w:top w:type="dxa" w:w="80"/>
              <w:left w:type="dxa" w:w="120"/>
              <w:bottom w:type="dxa" w:w="80"/>
              <w:right w:type="dxa" w:w="120"/>
            </w:tcMar>
            <w:vAlign w:val="center"/>
          </w:tcPr>
          <w:p>
            <w:pPr>
              <w:jc w:val="left"/>
            </w:pPr>
            <w:r>
              <w:rPr>
                <w:color w:val="1B1B1B"/>
                <w:sz w:val="20"/>
                <w:szCs w:val="20"/>
              </w:rPr>
              <w:t xml:space="preserve">order_estimated_delivery_date</w:t>
            </w:r>
          </w:p>
        </w:tc>
        <w:tc>
          <w:tcPr>
            <w:tcW w:type="dxa" w:w="1800"/>
            <w:tcMar>
              <w:top w:type="dxa" w:w="80"/>
              <w:left w:type="dxa" w:w="120"/>
              <w:bottom w:type="dxa" w:w="80"/>
              <w:right w:type="dxa" w:w="120"/>
            </w:tcMar>
            <w:vAlign w:val="center"/>
          </w:tcPr>
          <w:p>
            <w:pPr>
              <w:jc w:val="center"/>
            </w:pPr>
            <w:r>
              <w:rPr>
                <w:color w:val="1B1B1B"/>
                <w:sz w:val="20"/>
                <w:szCs w:val="20"/>
              </w:rPr>
              <w:t xml:space="preserve">Date</w:t>
            </w:r>
          </w:p>
        </w:tc>
        <w:tc>
          <w:tcPr>
            <w:tcW w:type="dxa" w:w="5340"/>
            <w:tcMar>
              <w:top w:type="dxa" w:w="80"/>
              <w:left w:type="dxa" w:w="120"/>
              <w:bottom w:type="dxa" w:w="80"/>
              <w:right w:type="dxa" w:w="120"/>
            </w:tcMar>
            <w:vAlign w:val="center"/>
          </w:tcPr>
          <w:p>
            <w:pPr>
              <w:jc w:val="center"/>
            </w:pPr>
            <w:r>
              <w:rPr>
                <w:color w:val="1B1B1B"/>
                <w:sz w:val="20"/>
                <w:szCs w:val="20"/>
              </w:rPr>
              <w:t xml:space="preserve">Delivery date promised at checkout</w:t>
            </w:r>
          </w:p>
        </w:tc>
      </w:tr>
      <w:tr>
        <w:tc>
          <w:tcPr>
            <w:tcW w:type="dxa" w:w="3400"/>
            <w:tcMar>
              <w:top w:type="dxa" w:w="80"/>
              <w:left w:type="dxa" w:w="120"/>
              <w:bottom w:type="dxa" w:w="80"/>
              <w:right w:type="dxa" w:w="120"/>
            </w:tcMar>
            <w:vAlign w:val="center"/>
          </w:tcPr>
          <w:p>
            <w:pPr>
              <w:jc w:val="left"/>
            </w:pPr>
            <w:r>
              <w:rPr>
                <w:color w:val="1B1B1B"/>
                <w:sz w:val="20"/>
                <w:szCs w:val="20"/>
              </w:rPr>
              <w:t xml:space="preserve">delivery_days</w:t>
            </w:r>
          </w:p>
        </w:tc>
        <w:tc>
          <w:tcPr>
            <w:tcW w:type="dxa" w:w="1800"/>
            <w:tcMar>
              <w:top w:type="dxa" w:w="80"/>
              <w:left w:type="dxa" w:w="120"/>
              <w:bottom w:type="dxa" w:w="80"/>
              <w:right w:type="dxa" w:w="120"/>
            </w:tcMar>
            <w:vAlign w:val="center"/>
          </w:tcPr>
          <w:p>
            <w:pPr>
              <w:jc w:val="center"/>
            </w:pPr>
            <w:r>
              <w:rPr>
                <w:color w:val="1B1B1B"/>
                <w:sz w:val="20"/>
                <w:szCs w:val="20"/>
              </w:rPr>
              <w:t xml:space="preserve">Numeric</w:t>
            </w:r>
          </w:p>
        </w:tc>
        <w:tc>
          <w:tcPr>
            <w:tcW w:type="dxa" w:w="5340"/>
            <w:tcMar>
              <w:top w:type="dxa" w:w="80"/>
              <w:left w:type="dxa" w:w="120"/>
              <w:bottom w:type="dxa" w:w="80"/>
              <w:right w:type="dxa" w:w="120"/>
            </w:tcMar>
            <w:vAlign w:val="center"/>
          </w:tcPr>
          <w:p>
            <w:pPr>
              <w:jc w:val="center"/>
            </w:pPr>
            <w:r>
              <w:rPr>
                <w:color w:val="1B1B1B"/>
                <w:sz w:val="20"/>
                <w:szCs w:val="20"/>
              </w:rPr>
              <w:t xml:space="preserve">Purchase-to-delivery duration, in days</w:t>
            </w:r>
          </w:p>
        </w:tc>
      </w:tr>
      <w:tr>
        <w:tc>
          <w:tcPr>
            <w:tcW w:type="dxa" w:w="3400"/>
            <w:tcMar>
              <w:top w:type="dxa" w:w="80"/>
              <w:left w:type="dxa" w:w="120"/>
              <w:bottom w:type="dxa" w:w="80"/>
              <w:right w:type="dxa" w:w="120"/>
            </w:tcMar>
            <w:vAlign w:val="center"/>
          </w:tcPr>
          <w:p>
            <w:pPr>
              <w:jc w:val="left"/>
            </w:pPr>
            <w:r>
              <w:rPr>
                <w:color w:val="1B1B1B"/>
                <w:sz w:val="20"/>
                <w:szCs w:val="20"/>
              </w:rPr>
              <w:t xml:space="preserve">delivery_delay_days</w:t>
            </w:r>
          </w:p>
        </w:tc>
        <w:tc>
          <w:tcPr>
            <w:tcW w:type="dxa" w:w="1800"/>
            <w:tcMar>
              <w:top w:type="dxa" w:w="80"/>
              <w:left w:type="dxa" w:w="120"/>
              <w:bottom w:type="dxa" w:w="80"/>
              <w:right w:type="dxa" w:w="120"/>
            </w:tcMar>
            <w:vAlign w:val="center"/>
          </w:tcPr>
          <w:p>
            <w:pPr>
              <w:jc w:val="center"/>
            </w:pPr>
            <w:r>
              <w:rPr>
                <w:color w:val="1B1B1B"/>
                <w:sz w:val="20"/>
                <w:szCs w:val="20"/>
              </w:rPr>
              <w:t xml:space="preserve">Numeric</w:t>
            </w:r>
          </w:p>
        </w:tc>
        <w:tc>
          <w:tcPr>
            <w:tcW w:type="dxa" w:w="5340"/>
            <w:tcMar>
              <w:top w:type="dxa" w:w="80"/>
              <w:left w:type="dxa" w:w="120"/>
              <w:bottom w:type="dxa" w:w="80"/>
              <w:right w:type="dxa" w:w="120"/>
            </w:tcMar>
            <w:vAlign w:val="center"/>
          </w:tcPr>
          <w:p>
            <w:pPr>
              <w:jc w:val="center"/>
            </w:pPr>
            <w:r>
              <w:rPr>
                <w:color w:val="1B1B1B"/>
                <w:sz w:val="20"/>
                <w:szCs w:val="20"/>
              </w:rPr>
              <w:t xml:space="preserve">Actual vs. estimated delivery (positive = late)</w:t>
            </w:r>
          </w:p>
        </w:tc>
      </w:tr>
      <w:tr>
        <w:tc>
          <w:tcPr>
            <w:tcW w:type="dxa" w:w="3400"/>
            <w:tcMar>
              <w:top w:type="dxa" w:w="80"/>
              <w:left w:type="dxa" w:w="120"/>
              <w:bottom w:type="dxa" w:w="80"/>
              <w:right w:type="dxa" w:w="120"/>
            </w:tcMar>
            <w:vAlign w:val="center"/>
          </w:tcPr>
          <w:p>
            <w:pPr>
              <w:jc w:val="left"/>
            </w:pPr>
            <w:r>
              <w:rPr>
                <w:color w:val="1B1B1B"/>
                <w:sz w:val="20"/>
                <w:szCs w:val="20"/>
              </w:rPr>
              <w:t xml:space="preserve">carrier_transit_days</w:t>
            </w:r>
          </w:p>
        </w:tc>
        <w:tc>
          <w:tcPr>
            <w:tcW w:type="dxa" w:w="1800"/>
            <w:tcMar>
              <w:top w:type="dxa" w:w="80"/>
              <w:left w:type="dxa" w:w="120"/>
              <w:bottom w:type="dxa" w:w="80"/>
              <w:right w:type="dxa" w:w="120"/>
            </w:tcMar>
            <w:vAlign w:val="center"/>
          </w:tcPr>
          <w:p>
            <w:pPr>
              <w:jc w:val="center"/>
            </w:pPr>
            <w:r>
              <w:rPr>
                <w:color w:val="1B1B1B"/>
                <w:sz w:val="20"/>
                <w:szCs w:val="20"/>
              </w:rPr>
              <w:t xml:space="preserve">Numeric</w:t>
            </w:r>
          </w:p>
        </w:tc>
        <w:tc>
          <w:tcPr>
            <w:tcW w:type="dxa" w:w="5340"/>
            <w:tcMar>
              <w:top w:type="dxa" w:w="80"/>
              <w:left w:type="dxa" w:w="120"/>
              <w:bottom w:type="dxa" w:w="80"/>
              <w:right w:type="dxa" w:w="120"/>
            </w:tcMar>
            <w:vAlign w:val="center"/>
          </w:tcPr>
          <w:p>
            <w:pPr>
              <w:jc w:val="center"/>
            </w:pPr>
            <w:r>
              <w:rPr>
                <w:color w:val="1B1B1B"/>
                <w:sz w:val="20"/>
                <w:szCs w:val="20"/>
              </w:rPr>
              <w:t xml:space="preserve">Time in carrier network (hand-off to delivery)</w:t>
            </w:r>
          </w:p>
        </w:tc>
      </w:tr>
      <w:tr>
        <w:tc>
          <w:tcPr>
            <w:tcW w:type="dxa" w:w="3400"/>
            <w:tcMar>
              <w:top w:type="dxa" w:w="80"/>
              <w:left w:type="dxa" w:w="120"/>
              <w:bottom w:type="dxa" w:w="80"/>
              <w:right w:type="dxa" w:w="120"/>
            </w:tcMar>
            <w:vAlign w:val="center"/>
          </w:tcPr>
          <w:p>
            <w:pPr>
              <w:jc w:val="left"/>
            </w:pPr>
            <w:r>
              <w:rPr>
                <w:color w:val="1B1B1B"/>
                <w:sz w:val="20"/>
                <w:szCs w:val="20"/>
              </w:rPr>
              <w:t xml:space="preserve">product_weight_g / dimensions</w:t>
            </w:r>
          </w:p>
        </w:tc>
        <w:tc>
          <w:tcPr>
            <w:tcW w:type="dxa" w:w="1800"/>
            <w:tcMar>
              <w:top w:type="dxa" w:w="80"/>
              <w:left w:type="dxa" w:w="120"/>
              <w:bottom w:type="dxa" w:w="80"/>
              <w:right w:type="dxa" w:w="120"/>
            </w:tcMar>
            <w:vAlign w:val="center"/>
          </w:tcPr>
          <w:p>
            <w:pPr>
              <w:jc w:val="center"/>
            </w:pPr>
            <w:r>
              <w:rPr>
                <w:color w:val="1B1B1B"/>
                <w:sz w:val="20"/>
                <w:szCs w:val="20"/>
              </w:rPr>
              <w:t xml:space="preserve">Numeric</w:t>
            </w:r>
          </w:p>
        </w:tc>
        <w:tc>
          <w:tcPr>
            <w:tcW w:type="dxa" w:w="5340"/>
            <w:tcMar>
              <w:top w:type="dxa" w:w="80"/>
              <w:left w:type="dxa" w:w="120"/>
              <w:bottom w:type="dxa" w:w="80"/>
              <w:right w:type="dxa" w:w="120"/>
            </w:tcMar>
            <w:vAlign w:val="center"/>
          </w:tcPr>
          <w:p>
            <w:pPr>
              <w:jc w:val="center"/>
            </w:pPr>
            <w:r>
              <w:rPr>
                <w:color w:val="1B1B1B"/>
                <w:sz w:val="20"/>
                <w:szCs w:val="20"/>
              </w:rPr>
              <w:t xml:space="preserve">Physical shipping attributes</w:t>
            </w:r>
          </w:p>
        </w:tc>
      </w:tr>
      <w:tr>
        <w:tc>
          <w:tcPr>
            <w:tcW w:type="dxa" w:w="3400"/>
            <w:tcMar>
              <w:top w:type="dxa" w:w="80"/>
              <w:left w:type="dxa" w:w="120"/>
              <w:bottom w:type="dxa" w:w="80"/>
              <w:right w:type="dxa" w:w="120"/>
            </w:tcMar>
            <w:vAlign w:val="center"/>
          </w:tcPr>
          <w:p>
            <w:pPr>
              <w:jc w:val="left"/>
            </w:pPr>
            <w:r>
              <w:rPr>
                <w:color w:val="1B1B1B"/>
                <w:sz w:val="20"/>
                <w:szCs w:val="20"/>
              </w:rPr>
              <w:t xml:space="preserve">customer_state / seller_state</w:t>
            </w:r>
          </w:p>
        </w:tc>
        <w:tc>
          <w:tcPr>
            <w:tcW w:type="dxa" w:w="1800"/>
            <w:tcMar>
              <w:top w:type="dxa" w:w="80"/>
              <w:left w:type="dxa" w:w="120"/>
              <w:bottom w:type="dxa" w:w="80"/>
              <w:right w:type="dxa" w:w="120"/>
            </w:tcMar>
            <w:vAlign w:val="center"/>
          </w:tcPr>
          <w:p>
            <w:pPr>
              <w:jc w:val="center"/>
            </w:pPr>
            <w:r>
              <w:rPr>
                <w:color w:val="1B1B1B"/>
                <w:sz w:val="20"/>
                <w:szCs w:val="20"/>
              </w:rPr>
              <w:t xml:space="preserve">Categorical</w:t>
            </w:r>
          </w:p>
        </w:tc>
        <w:tc>
          <w:tcPr>
            <w:tcW w:type="dxa" w:w="5340"/>
            <w:tcMar>
              <w:top w:type="dxa" w:w="80"/>
              <w:left w:type="dxa" w:w="120"/>
              <w:bottom w:type="dxa" w:w="80"/>
              <w:right w:type="dxa" w:w="120"/>
            </w:tcMar>
            <w:vAlign w:val="center"/>
          </w:tcPr>
          <w:p>
            <w:pPr>
              <w:jc w:val="center"/>
            </w:pPr>
            <w:r>
              <w:rPr>
                <w:color w:val="1B1B1B"/>
                <w:sz w:val="20"/>
                <w:szCs w:val="20"/>
              </w:rPr>
              <w:t xml:space="preserve">Brazilian state (UF) of each party</w:t>
            </w:r>
          </w:p>
        </w:tc>
      </w:tr>
      <w:tr>
        <w:tc>
          <w:tcPr>
            <w:tcW w:type="dxa" w:w="3400"/>
            <w:tcMar>
              <w:top w:type="dxa" w:w="80"/>
              <w:left w:type="dxa" w:w="120"/>
              <w:bottom w:type="dxa" w:w="80"/>
              <w:right w:type="dxa" w:w="120"/>
            </w:tcMar>
            <w:vAlign w:val="center"/>
          </w:tcPr>
          <w:p>
            <w:pPr>
              <w:jc w:val="left"/>
            </w:pPr>
            <w:r>
              <w:rPr>
                <w:color w:val="1B1B1B"/>
                <w:sz w:val="20"/>
                <w:szCs w:val="20"/>
              </w:rPr>
              <w:t xml:space="preserve">freight_outlier</w:t>
            </w:r>
          </w:p>
        </w:tc>
        <w:tc>
          <w:tcPr>
            <w:tcW w:type="dxa" w:w="1800"/>
            <w:tcMar>
              <w:top w:type="dxa" w:w="80"/>
              <w:left w:type="dxa" w:w="120"/>
              <w:bottom w:type="dxa" w:w="80"/>
              <w:right w:type="dxa" w:w="120"/>
            </w:tcMar>
            <w:vAlign w:val="center"/>
          </w:tcPr>
          <w:p>
            <w:pPr>
              <w:jc w:val="center"/>
            </w:pPr>
            <w:r>
              <w:rPr>
                <w:color w:val="1B1B1B"/>
                <w:sz w:val="20"/>
                <w:szCs w:val="20"/>
              </w:rPr>
              <w:t xml:space="preserve">Boolean</w:t>
            </w:r>
          </w:p>
        </w:tc>
        <w:tc>
          <w:tcPr>
            <w:tcW w:type="dxa" w:w="5340"/>
            <w:tcMar>
              <w:top w:type="dxa" w:w="80"/>
              <w:left w:type="dxa" w:w="120"/>
              <w:bottom w:type="dxa" w:w="80"/>
              <w:right w:type="dxa" w:w="120"/>
            </w:tcMar>
            <w:vAlign w:val="center"/>
          </w:tcPr>
          <w:p>
            <w:pPr>
              <w:jc w:val="center"/>
            </w:pPr>
            <w:r>
              <w:rPr>
                <w:color w:val="1B1B1B"/>
                <w:sz w:val="20"/>
                <w:szCs w:val="20"/>
              </w:rPr>
              <w:t xml:space="preserve">Flag for anomalous freight charges</w:t>
            </w:r>
          </w:p>
        </w:tc>
      </w:tr>
    </w:tbl>
    <w:p>
      <w:pPr>
        <w:spacing w:after="200" w:before="200"/>
      </w:pPr>
    </w:p>
    <w:p>
      <w:pPr>
        <w:spacing w:after="160" w:line="276"/>
      </w:pPr>
      <w:r>
        <w:rPr>
          <w:sz w:val="22"/>
          <w:szCs w:val="22"/>
        </w:rPr>
        <w:t xml:space="preserve">The data covers a two-year window (Sept 2016 – Sept 2018), with 110,181 of 112,635 items (97.8%) successfully delivered; the remainder are in-transit, cancelled, or unavailable at time of extraction and are excluded from delivery-timing analysis.</w:t>
      </w:r>
    </w:p>
    <w:p>
      <w:pPr>
        <w:pStyle w:val="Heading1"/>
        <w:spacing w:after="200" w:before="400"/>
      </w:pPr>
      <w:r>
        <w:t xml:space="preserve">3. Methodology</w:t>
      </w:r>
    </w:p>
    <w:p>
      <w:pPr>
        <w:spacing w:after="160" w:line="276"/>
      </w:pPr>
      <w:r>
        <w:rPr>
          <w:sz w:val="22"/>
          <w:szCs w:val="22"/>
        </w:rPr>
        <w:t xml:space="preserve">The analysis was performed in Python using pandas for data manipulation, and matplotlib/seaborn for visualization. The workflow followed four stages:</w:t>
      </w:r>
    </w:p>
    <w:p>
      <w:pPr>
        <w:pStyle w:val="ListParagraph"/>
        <w:numPr>
          <w:ilvl w:val="0"/>
          <w:numId w:val="1"/>
        </w:numPr>
        <w:spacing w:after="90"/>
      </w:pPr>
      <w:r>
        <w:t xml:space="preserve">Data loading and cleaning validation — confirming data types, checking for missing values, and filtering delivered orders where delivery-timing analysis required a completed shipment.</w:t>
      </w:r>
    </w:p>
    <w:p>
      <w:pPr>
        <w:pStyle w:val="ListParagraph"/>
        <w:numPr>
          <w:ilvl w:val="0"/>
          <w:numId w:val="1"/>
        </w:numPr>
        <w:spacing w:after="90"/>
      </w:pPr>
      <w:r>
        <w:t xml:space="preserve">Descriptive statistics — computing measures of central tendency (mean, median), dispersion (standard deviation, IQR), and a Pearson correlation matrix across cost and timing variables.</w:t>
      </w:r>
    </w:p>
    <w:p>
      <w:pPr>
        <w:pStyle w:val="ListParagraph"/>
        <w:numPr>
          <w:ilvl w:val="0"/>
          <w:numId w:val="1"/>
        </w:numPr>
        <w:spacing w:after="90"/>
      </w:pPr>
      <w:r>
        <w:t xml:space="preserve">Segmented analysis — grouping metrics by product category, customer state, and same-state vs. cross-state shipment lanes to isolate structural bottlenecks.</w:t>
      </w:r>
    </w:p>
    <w:p>
      <w:pPr>
        <w:pStyle w:val="ListParagraph"/>
        <w:numPr>
          <w:ilvl w:val="0"/>
          <w:numId w:val="1"/>
        </w:numPr>
        <w:spacing w:after="90"/>
      </w:pPr>
      <w:r>
        <w:t xml:space="preserve">Visualization — building ten charts chosen to match the analytical question at hand (distribution, trend, comparison, relationship, and correlation), each interpreted in the context of logistics performance.</w:t>
      </w:r>
    </w:p>
    <w:p>
      <w:pPr>
        <w:pStyle w:val="Heading2"/>
        <w:spacing w:after="150" w:before="300"/>
      </w:pPr>
      <w:r>
        <w:t xml:space="preserve">3.1 Core analysis code</w:t>
      </w:r>
    </w:p>
    <w:p>
      <w:pPr>
        <w:spacing w:after="160" w:line="276"/>
      </w:pPr>
      <w:r>
        <w:rPr>
          <w:sz w:val="22"/>
          <w:szCs w:val="22"/>
        </w:rPr>
        <w:t xml:space="preserve">The snippet below shows the central EDA routine used to compute the summary statistics referenced throughout this report.</w:t>
      </w:r>
    </w:p>
    <w:p>
      <w:pPr>
        <w:pBdr>
          <w:top w:val="single" w:color="D0D0D0" w:sz="4"/>
          <w:bottom w:val="single" w:color="D0D0D0" w:sz="4"/>
          <w:left w:val="single" w:color="D0D0D0" w:sz="4"/>
          <w:right w:val="single" w:color="D0D0D0" w:sz="4"/>
        </w:pBdr>
        <w:shd w:fill="F2F2F2" w:val="clear"/>
        <w:spacing w:after="240" w:before="120"/>
      </w:pPr>
      <w:r>
        <w:rPr>
          <w:rFonts w:ascii="Consolas" w:cs="Consolas" w:eastAsia="Consolas" w:hAnsi="Consolas"/>
          <w:color w:val="1B1B1B"/>
          <w:sz w:val="18"/>
          <w:szCs w:val="18"/>
        </w:rPr>
        <w:t xml:space="preserve">import pandas as pd</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 = pd.read_csv('logistics_clean.csv')</w:t>
      </w:r>
      <w:r>
        <w:br/>
      </w:r>
      <w:r>
        <w:rPr>
          <w:rFonts w:ascii="Consolas" w:cs="Consolas" w:eastAsia="Consolas" w:hAnsi="Consolas"/>
          <w:color w:val="1B1B1B"/>
          <w:sz w:val="18"/>
          <w:szCs w:val="18"/>
        </w:rPr>
        <w:t xml:space="preserve">df['order_purchase_timestamp'] = pd.to_datetime(df['order_purchase_timestamp'])</w:t>
      </w:r>
      <w:r>
        <w:br/>
      </w:r>
      <w:r>
        <w:rPr>
          <w:rFonts w:ascii="Consolas" w:cs="Consolas" w:eastAsia="Consolas" w:hAnsi="Consolas"/>
          <w:color w:val="1B1B1B"/>
          <w:sz w:val="18"/>
          <w:szCs w:val="18"/>
        </w:rPr>
        <w:t xml:space="preserve">delivered = df[df['is_delivered'] == 1].copy()</w:t>
      </w:r>
      <w:r>
        <w:br/>
      </w:r>
      <w:r>
        <w:rPr>
          <w:rFonts w:ascii="Consolas" w:cs="Consolas" w:eastAsia="Consolas" w:hAnsi="Consolas"/>
          <w:color w:val="1B1B1B"/>
          <w:sz w:val="18"/>
          <w:szCs w:val="18"/>
        </w:rPr>
        <w:t xml:space="preserve">delivered['is_late'] = delivered['delivery_delay_days'] &gt; 0</w:t>
      </w:r>
      <w:r>
        <w:br/>
      </w:r>
      <w:r>
        <w:rPr>
          <w:rFonts w:ascii="Consolas" w:cs="Consolas" w:eastAsia="Consolas" w:hAnsi="Consolas"/>
          <w:color w:val="1B1B1B"/>
          <w:sz w:val="18"/>
          <w:szCs w:val="18"/>
        </w:rPr>
        <w:t xml:space="preserve">delivered['same_state'] = delivered['customer_state'] == delivered['seller_state']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Central tendency &amp; dispersion</w:t>
      </w:r>
      <w:r>
        <w:br/>
      </w:r>
      <w:r>
        <w:rPr>
          <w:rFonts w:ascii="Consolas" w:cs="Consolas" w:eastAsia="Consolas" w:hAnsi="Consolas"/>
          <w:color w:val="1B1B1B"/>
          <w:sz w:val="18"/>
          <w:szCs w:val="18"/>
        </w:rPr>
        <w:t xml:space="preserve">print(delivered['delivery_days'].describe())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Correlation across cost/timing variables</w:t>
      </w:r>
      <w:r>
        <w:br/>
      </w:r>
      <w:r>
        <w:rPr>
          <w:rFonts w:ascii="Consolas" w:cs="Consolas" w:eastAsia="Consolas" w:hAnsi="Consolas"/>
          <w:color w:val="1B1B1B"/>
          <w:sz w:val="18"/>
          <w:szCs w:val="18"/>
        </w:rPr>
        <w:t xml:space="preserve">cols = ['price', 'freight_value', 'delivery_days',</w:t>
      </w:r>
      <w:r>
        <w:br/>
      </w:r>
      <w:r>
        <w:rPr>
          <w:rFonts w:ascii="Consolas" w:cs="Consolas" w:eastAsia="Consolas" w:hAnsi="Consolas"/>
          <w:color w:val="1B1B1B"/>
          <w:sz w:val="18"/>
          <w:szCs w:val="18"/>
        </w:rPr>
        <w:t xml:space="preserve">        'delivery_delay_days', 'carrier_transit_days', 'product_weight_g']</w:t>
      </w:r>
      <w:r>
        <w:br/>
      </w:r>
      <w:r>
        <w:rPr>
          <w:rFonts w:ascii="Consolas" w:cs="Consolas" w:eastAsia="Consolas" w:hAnsi="Consolas"/>
          <w:color w:val="1B1B1B"/>
          <w:sz w:val="18"/>
          <w:szCs w:val="18"/>
        </w:rPr>
        <w:t xml:space="preserve">print(delivered[cols].corr().round(2))</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Segmented performance</w:t>
      </w:r>
      <w:r>
        <w:br/>
      </w:r>
      <w:r>
        <w:rPr>
          <w:rFonts w:ascii="Consolas" w:cs="Consolas" w:eastAsia="Consolas" w:hAnsi="Consolas"/>
          <w:color w:val="1B1B1B"/>
          <w:sz w:val="18"/>
          <w:szCs w:val="18"/>
        </w:rPr>
        <w:t xml:space="preserve">delivered.groupby('customer_state')['delivery_days'].mean().sort_values(ascending=False)</w:t>
      </w:r>
      <w:r>
        <w:br/>
      </w:r>
      <w:r>
        <w:rPr>
          <w:rFonts w:ascii="Consolas" w:cs="Consolas" w:eastAsia="Consolas" w:hAnsi="Consolas"/>
          <w:color w:val="1B1B1B"/>
          <w:sz w:val="18"/>
          <w:szCs w:val="18"/>
        </w:rPr>
        <w:t xml:space="preserve">delivered.groupby('same_state')['is_late'].mean()</w:t>
      </w:r>
    </w:p>
    <w:p>
      <w:r>
        <w:br w:type="page"/>
      </w:r>
    </w:p>
    <w:p>
      <w:pPr>
        <w:pStyle w:val="Heading1"/>
        <w:spacing w:after="200" w:before="400"/>
      </w:pPr>
      <w:r>
        <w:t xml:space="preserve">4. Exploratory Data Analysis</w:t>
      </w:r>
    </w:p>
    <w:p>
      <w:pPr>
        <w:pStyle w:val="Heading2"/>
        <w:spacing w:after="150" w:before="300"/>
      </w:pPr>
      <w:r>
        <w:t xml:space="preserve">4.1 Central tendency and dispersion</w:t>
      </w:r>
    </w:p>
    <w:p>
      <w:pPr>
        <w:spacing w:after="160" w:line="276"/>
      </w:pPr>
      <w:r>
        <w:rPr>
          <w:sz w:val="22"/>
          <w:szCs w:val="22"/>
        </w:rPr>
        <w:t xml:space="preserve">Summary statistics for the core numeric variables (delivered orders unless noted):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600"/>
        <w:gridCol w:w="2340"/>
      </w:tblGrid>
      <w:tr>
        <w:trPr>
          <w:tblHeader/>
        </w:trPr>
        <w:tc>
          <w:tcPr>
            <w:tcW w:type="dxa" w:w="2600"/>
            <w:shd w:fill="1F3B57"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1500"/>
            <w:shd w:fill="1F3B57" w:val="clear"/>
            <w:tcMar>
              <w:top w:type="dxa" w:w="80"/>
              <w:left w:type="dxa" w:w="120"/>
              <w:bottom w:type="dxa" w:w="80"/>
              <w:right w:type="dxa" w:w="120"/>
            </w:tcMar>
            <w:vAlign w:val="center"/>
          </w:tcPr>
          <w:p>
            <w:pPr>
              <w:jc w:val="center"/>
            </w:pPr>
            <w:r>
              <w:rPr>
                <w:b/>
                <w:bCs/>
                <w:color w:val="FFFFFF"/>
                <w:sz w:val="20"/>
                <w:szCs w:val="20"/>
              </w:rPr>
              <w:t xml:space="preserve">Mean</w:t>
            </w:r>
          </w:p>
        </w:tc>
        <w:tc>
          <w:tcPr>
            <w:tcW w:type="dxa" w:w="1500"/>
            <w:shd w:fill="1F3B57" w:val="clear"/>
            <w:tcMar>
              <w:top w:type="dxa" w:w="80"/>
              <w:left w:type="dxa" w:w="120"/>
              <w:bottom w:type="dxa" w:w="80"/>
              <w:right w:type="dxa" w:w="120"/>
            </w:tcMar>
            <w:vAlign w:val="center"/>
          </w:tcPr>
          <w:p>
            <w:pPr>
              <w:jc w:val="center"/>
            </w:pPr>
            <w:r>
              <w:rPr>
                <w:b/>
                <w:bCs/>
                <w:color w:val="FFFFFF"/>
                <w:sz w:val="20"/>
                <w:szCs w:val="20"/>
              </w:rPr>
              <w:t xml:space="preserve">Median</w:t>
            </w:r>
          </w:p>
        </w:tc>
        <w:tc>
          <w:tcPr>
            <w:tcW w:type="dxa" w:w="1600"/>
            <w:shd w:fill="1F3B57" w:val="clear"/>
            <w:tcMar>
              <w:top w:type="dxa" w:w="80"/>
              <w:left w:type="dxa" w:w="120"/>
              <w:bottom w:type="dxa" w:w="80"/>
              <w:right w:type="dxa" w:w="120"/>
            </w:tcMar>
            <w:vAlign w:val="center"/>
          </w:tcPr>
          <w:p>
            <w:pPr>
              <w:jc w:val="center"/>
            </w:pPr>
            <w:r>
              <w:rPr>
                <w:b/>
                <w:bCs/>
                <w:color w:val="FFFFFF"/>
                <w:sz w:val="20"/>
                <w:szCs w:val="20"/>
              </w:rPr>
              <w:t xml:space="preserve">Std. Dev.</w:t>
            </w:r>
          </w:p>
        </w:tc>
        <w:tc>
          <w:tcPr>
            <w:tcW w:type="dxa" w:w="2340"/>
            <w:shd w:fill="1F3B57"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600"/>
            <w:tcMar>
              <w:top w:type="dxa" w:w="80"/>
              <w:left w:type="dxa" w:w="120"/>
              <w:bottom w:type="dxa" w:w="80"/>
              <w:right w:type="dxa" w:w="120"/>
            </w:tcMar>
            <w:vAlign w:val="center"/>
          </w:tcPr>
          <w:p>
            <w:pPr>
              <w:jc w:val="left"/>
            </w:pPr>
            <w:r>
              <w:rPr>
                <w:color w:val="1B1B1B"/>
                <w:sz w:val="20"/>
                <w:szCs w:val="20"/>
              </w:rPr>
              <w:t xml:space="preserve">Delivery days</w:t>
            </w:r>
          </w:p>
        </w:tc>
        <w:tc>
          <w:tcPr>
            <w:tcW w:type="dxa" w:w="1500"/>
            <w:tcMar>
              <w:top w:type="dxa" w:w="80"/>
              <w:left w:type="dxa" w:w="120"/>
              <w:bottom w:type="dxa" w:w="80"/>
              <w:right w:type="dxa" w:w="120"/>
            </w:tcMar>
            <w:vAlign w:val="center"/>
          </w:tcPr>
          <w:p>
            <w:pPr>
              <w:jc w:val="center"/>
            </w:pPr>
            <w:r>
              <w:rPr>
                <w:color w:val="1B1B1B"/>
                <w:sz w:val="20"/>
                <w:szCs w:val="20"/>
              </w:rPr>
              <w:t xml:space="preserve">12.47</w:t>
            </w:r>
          </w:p>
        </w:tc>
        <w:tc>
          <w:tcPr>
            <w:tcW w:type="dxa" w:w="1500"/>
            <w:tcMar>
              <w:top w:type="dxa" w:w="80"/>
              <w:left w:type="dxa" w:w="120"/>
              <w:bottom w:type="dxa" w:w="80"/>
              <w:right w:type="dxa" w:w="120"/>
            </w:tcMar>
            <w:vAlign w:val="center"/>
          </w:tcPr>
          <w:p>
            <w:pPr>
              <w:jc w:val="center"/>
            </w:pPr>
            <w:r>
              <w:rPr>
                <w:color w:val="1B1B1B"/>
                <w:sz w:val="20"/>
                <w:szCs w:val="20"/>
              </w:rPr>
              <w:t xml:space="preserve">10.18</w:t>
            </w:r>
          </w:p>
        </w:tc>
        <w:tc>
          <w:tcPr>
            <w:tcW w:type="dxa" w:w="1600"/>
            <w:tcMar>
              <w:top w:type="dxa" w:w="80"/>
              <w:left w:type="dxa" w:w="120"/>
              <w:bottom w:type="dxa" w:w="80"/>
              <w:right w:type="dxa" w:w="120"/>
            </w:tcMar>
            <w:vAlign w:val="center"/>
          </w:tcPr>
          <w:p>
            <w:pPr>
              <w:jc w:val="center"/>
            </w:pPr>
            <w:r>
              <w:rPr>
                <w:color w:val="1B1B1B"/>
                <w:sz w:val="20"/>
                <w:szCs w:val="20"/>
              </w:rPr>
              <w:t xml:space="preserve">9.45</w:t>
            </w:r>
          </w:p>
        </w:tc>
        <w:tc>
          <w:tcPr>
            <w:tcW w:type="dxa" w:w="2340"/>
            <w:tcMar>
              <w:top w:type="dxa" w:w="80"/>
              <w:left w:type="dxa" w:w="120"/>
              <w:bottom w:type="dxa" w:w="80"/>
              <w:right w:type="dxa" w:w="120"/>
            </w:tcMar>
            <w:vAlign w:val="center"/>
          </w:tcPr>
          <w:p>
            <w:pPr>
              <w:jc w:val="center"/>
            </w:pPr>
            <w:r>
              <w:rPr>
                <w:color w:val="1B1B1B"/>
                <w:sz w:val="20"/>
                <w:szCs w:val="20"/>
              </w:rPr>
              <w:t xml:space="preserve">Right-skewed; long tail of slow deliveries</w:t>
            </w:r>
          </w:p>
        </w:tc>
      </w:tr>
      <w:tr>
        <w:tc>
          <w:tcPr>
            <w:tcW w:type="dxa" w:w="2600"/>
            <w:tcMar>
              <w:top w:type="dxa" w:w="80"/>
              <w:left w:type="dxa" w:w="120"/>
              <w:bottom w:type="dxa" w:w="80"/>
              <w:right w:type="dxa" w:w="120"/>
            </w:tcMar>
            <w:vAlign w:val="center"/>
          </w:tcPr>
          <w:p>
            <w:pPr>
              <w:jc w:val="left"/>
            </w:pPr>
            <w:r>
              <w:rPr>
                <w:color w:val="1B1B1B"/>
                <w:sz w:val="20"/>
                <w:szCs w:val="20"/>
              </w:rPr>
              <w:t xml:space="preserve">Delivery delay (days)</w:t>
            </w:r>
          </w:p>
        </w:tc>
        <w:tc>
          <w:tcPr>
            <w:tcW w:type="dxa" w:w="1500"/>
            <w:tcMar>
              <w:top w:type="dxa" w:w="80"/>
              <w:left w:type="dxa" w:w="120"/>
              <w:bottom w:type="dxa" w:w="80"/>
              <w:right w:type="dxa" w:w="120"/>
            </w:tcMar>
            <w:vAlign w:val="center"/>
          </w:tcPr>
          <w:p>
            <w:pPr>
              <w:jc w:val="center"/>
            </w:pPr>
            <w:r>
              <w:rPr>
                <w:color w:val="1B1B1B"/>
                <w:sz w:val="20"/>
                <w:szCs w:val="20"/>
              </w:rPr>
              <w:t xml:space="preserve">-11.33</w:t>
            </w:r>
          </w:p>
        </w:tc>
        <w:tc>
          <w:tcPr>
            <w:tcW w:type="dxa" w:w="1500"/>
            <w:tcMar>
              <w:top w:type="dxa" w:w="80"/>
              <w:left w:type="dxa" w:w="120"/>
              <w:bottom w:type="dxa" w:w="80"/>
              <w:right w:type="dxa" w:w="120"/>
            </w:tcMar>
            <w:vAlign w:val="center"/>
          </w:tcPr>
          <w:p>
            <w:pPr>
              <w:jc w:val="center"/>
            </w:pPr>
            <w:r>
              <w:rPr>
                <w:color w:val="1B1B1B"/>
                <w:sz w:val="20"/>
                <w:szCs w:val="20"/>
              </w:rPr>
              <w:t xml:space="preserve">-12.05</w:t>
            </w:r>
          </w:p>
        </w:tc>
        <w:tc>
          <w:tcPr>
            <w:tcW w:type="dxa" w:w="1600"/>
            <w:tcMar>
              <w:top w:type="dxa" w:w="80"/>
              <w:left w:type="dxa" w:w="120"/>
              <w:bottom w:type="dxa" w:w="80"/>
              <w:right w:type="dxa" w:w="120"/>
            </w:tcMar>
            <w:vAlign w:val="center"/>
          </w:tcPr>
          <w:p>
            <w:pPr>
              <w:jc w:val="center"/>
            </w:pPr>
            <w:r>
              <w:rPr>
                <w:color w:val="1B1B1B"/>
                <w:sz w:val="20"/>
                <w:szCs w:val="20"/>
              </w:rPr>
              <w:t xml:space="preserve">10.16</w:t>
            </w:r>
          </w:p>
        </w:tc>
        <w:tc>
          <w:tcPr>
            <w:tcW w:type="dxa" w:w="2340"/>
            <w:tcMar>
              <w:top w:type="dxa" w:w="80"/>
              <w:left w:type="dxa" w:w="120"/>
              <w:bottom w:type="dxa" w:w="80"/>
              <w:right w:type="dxa" w:w="120"/>
            </w:tcMar>
            <w:vAlign w:val="center"/>
          </w:tcPr>
          <w:p>
            <w:pPr>
              <w:jc w:val="center"/>
            </w:pPr>
            <w:r>
              <w:rPr>
                <w:color w:val="1B1B1B"/>
                <w:sz w:val="20"/>
                <w:szCs w:val="20"/>
              </w:rPr>
              <w:t xml:space="preserve">Negative = delivered early vs. estimate</w:t>
            </w:r>
          </w:p>
        </w:tc>
      </w:tr>
      <w:tr>
        <w:tc>
          <w:tcPr>
            <w:tcW w:type="dxa" w:w="2600"/>
            <w:tcMar>
              <w:top w:type="dxa" w:w="80"/>
              <w:left w:type="dxa" w:w="120"/>
              <w:bottom w:type="dxa" w:w="80"/>
              <w:right w:type="dxa" w:w="120"/>
            </w:tcMar>
            <w:vAlign w:val="center"/>
          </w:tcPr>
          <w:p>
            <w:pPr>
              <w:jc w:val="left"/>
            </w:pPr>
            <w:r>
              <w:rPr>
                <w:color w:val="1B1B1B"/>
                <w:sz w:val="20"/>
                <w:szCs w:val="20"/>
              </w:rPr>
              <w:t xml:space="preserve">Carrier transit days</w:t>
            </w:r>
          </w:p>
        </w:tc>
        <w:tc>
          <w:tcPr>
            <w:tcW w:type="dxa" w:w="1500"/>
            <w:tcMar>
              <w:top w:type="dxa" w:w="80"/>
              <w:left w:type="dxa" w:w="120"/>
              <w:bottom w:type="dxa" w:w="80"/>
              <w:right w:type="dxa" w:w="120"/>
            </w:tcMar>
            <w:vAlign w:val="center"/>
          </w:tcPr>
          <w:p>
            <w:pPr>
              <w:jc w:val="center"/>
            </w:pPr>
            <w:r>
              <w:rPr>
                <w:color w:val="1B1B1B"/>
                <w:sz w:val="20"/>
                <w:szCs w:val="20"/>
              </w:rPr>
              <w:t xml:space="preserve">9.19</w:t>
            </w:r>
          </w:p>
        </w:tc>
        <w:tc>
          <w:tcPr>
            <w:tcW w:type="dxa" w:w="1500"/>
            <w:tcMar>
              <w:top w:type="dxa" w:w="80"/>
              <w:left w:type="dxa" w:w="120"/>
              <w:bottom w:type="dxa" w:w="80"/>
              <w:right w:type="dxa" w:w="120"/>
            </w:tcMar>
            <w:vAlign w:val="center"/>
          </w:tcPr>
          <w:p>
            <w:pPr>
              <w:jc w:val="center"/>
            </w:pPr>
            <w:r>
              <w:rPr>
                <w:color w:val="1B1B1B"/>
                <w:sz w:val="20"/>
                <w:szCs w:val="20"/>
              </w:rPr>
              <w:t xml:space="preserve">7.06</w:t>
            </w:r>
          </w:p>
        </w:tc>
        <w:tc>
          <w:tcPr>
            <w:tcW w:type="dxa" w:w="1600"/>
            <w:tcMar>
              <w:top w:type="dxa" w:w="80"/>
              <w:left w:type="dxa" w:w="120"/>
              <w:bottom w:type="dxa" w:w="80"/>
              <w:right w:type="dxa" w:w="120"/>
            </w:tcMar>
            <w:vAlign w:val="center"/>
          </w:tcPr>
          <w:p>
            <w:pPr>
              <w:jc w:val="center"/>
            </w:pPr>
            <w:r>
              <w:rPr>
                <w:color w:val="1B1B1B"/>
                <w:sz w:val="20"/>
                <w:szCs w:val="20"/>
              </w:rPr>
              <w:t xml:space="preserve">8.63</w:t>
            </w:r>
          </w:p>
        </w:tc>
        <w:tc>
          <w:tcPr>
            <w:tcW w:type="dxa" w:w="2340"/>
            <w:tcMar>
              <w:top w:type="dxa" w:w="80"/>
              <w:left w:type="dxa" w:w="120"/>
              <w:bottom w:type="dxa" w:w="80"/>
              <w:right w:type="dxa" w:w="120"/>
            </w:tcMar>
            <w:vAlign w:val="center"/>
          </w:tcPr>
          <w:p>
            <w:pPr>
              <w:jc w:val="center"/>
            </w:pPr>
            <w:r>
              <w:rPr>
                <w:color w:val="1B1B1B"/>
                <w:sz w:val="20"/>
                <w:szCs w:val="20"/>
              </w:rPr>
              <w:t xml:space="preserve">Time in carrier hand-off/network</w:t>
            </w:r>
          </w:p>
        </w:tc>
      </w:tr>
      <w:tr>
        <w:tc>
          <w:tcPr>
            <w:tcW w:type="dxa" w:w="2600"/>
            <w:tcMar>
              <w:top w:type="dxa" w:w="80"/>
              <w:left w:type="dxa" w:w="120"/>
              <w:bottom w:type="dxa" w:w="80"/>
              <w:right w:type="dxa" w:w="120"/>
            </w:tcMar>
            <w:vAlign w:val="center"/>
          </w:tcPr>
          <w:p>
            <w:pPr>
              <w:jc w:val="left"/>
            </w:pPr>
            <w:r>
              <w:rPr>
                <w:color w:val="1B1B1B"/>
                <w:sz w:val="20"/>
                <w:szCs w:val="20"/>
              </w:rPr>
              <w:t xml:space="preserve">Freight value (R$)</w:t>
            </w:r>
          </w:p>
        </w:tc>
        <w:tc>
          <w:tcPr>
            <w:tcW w:type="dxa" w:w="1500"/>
            <w:tcMar>
              <w:top w:type="dxa" w:w="80"/>
              <w:left w:type="dxa" w:w="120"/>
              <w:bottom w:type="dxa" w:w="80"/>
              <w:right w:type="dxa" w:w="120"/>
            </w:tcMar>
            <w:vAlign w:val="center"/>
          </w:tcPr>
          <w:p>
            <w:pPr>
              <w:jc w:val="center"/>
            </w:pPr>
            <w:r>
              <w:rPr>
                <w:color w:val="1B1B1B"/>
                <w:sz w:val="20"/>
                <w:szCs w:val="20"/>
              </w:rPr>
              <w:t xml:space="preserve">19.99</w:t>
            </w:r>
          </w:p>
        </w:tc>
        <w:tc>
          <w:tcPr>
            <w:tcW w:type="dxa" w:w="1500"/>
            <w:tcMar>
              <w:top w:type="dxa" w:w="80"/>
              <w:left w:type="dxa" w:w="120"/>
              <w:bottom w:type="dxa" w:w="80"/>
              <w:right w:type="dxa" w:w="120"/>
            </w:tcMar>
            <w:vAlign w:val="center"/>
          </w:tcPr>
          <w:p>
            <w:pPr>
              <w:jc w:val="center"/>
            </w:pPr>
            <w:r>
              <w:rPr>
                <w:color w:val="1B1B1B"/>
                <w:sz w:val="20"/>
                <w:szCs w:val="20"/>
              </w:rPr>
              <w:t xml:space="preserve">16.26</w:t>
            </w:r>
          </w:p>
        </w:tc>
        <w:tc>
          <w:tcPr>
            <w:tcW w:type="dxa" w:w="1600"/>
            <w:tcMar>
              <w:top w:type="dxa" w:w="80"/>
              <w:left w:type="dxa" w:w="120"/>
              <w:bottom w:type="dxa" w:w="80"/>
              <w:right w:type="dxa" w:w="120"/>
            </w:tcMar>
            <w:vAlign w:val="center"/>
          </w:tcPr>
          <w:p>
            <w:pPr>
              <w:jc w:val="center"/>
            </w:pPr>
            <w:r>
              <w:rPr>
                <w:color w:val="1B1B1B"/>
                <w:sz w:val="20"/>
                <w:szCs w:val="20"/>
              </w:rPr>
              <w:t xml:space="preserve">15.81</w:t>
            </w:r>
          </w:p>
        </w:tc>
        <w:tc>
          <w:tcPr>
            <w:tcW w:type="dxa" w:w="2340"/>
            <w:tcMar>
              <w:top w:type="dxa" w:w="80"/>
              <w:left w:type="dxa" w:w="120"/>
              <w:bottom w:type="dxa" w:w="80"/>
              <w:right w:type="dxa" w:w="120"/>
            </w:tcMar>
            <w:vAlign w:val="center"/>
          </w:tcPr>
          <w:p>
            <w:pPr>
              <w:jc w:val="center"/>
            </w:pPr>
            <w:r>
              <w:rPr>
                <w:color w:val="1B1B1B"/>
                <w:sz w:val="20"/>
                <w:szCs w:val="20"/>
              </w:rPr>
              <w:t xml:space="preserve">All order items</w:t>
            </w:r>
          </w:p>
        </w:tc>
      </w:tr>
      <w:tr>
        <w:tc>
          <w:tcPr>
            <w:tcW w:type="dxa" w:w="2600"/>
            <w:tcMar>
              <w:top w:type="dxa" w:w="80"/>
              <w:left w:type="dxa" w:w="120"/>
              <w:bottom w:type="dxa" w:w="80"/>
              <w:right w:type="dxa" w:w="120"/>
            </w:tcMar>
            <w:vAlign w:val="center"/>
          </w:tcPr>
          <w:p>
            <w:pPr>
              <w:jc w:val="left"/>
            </w:pPr>
            <w:r>
              <w:rPr>
                <w:color w:val="1B1B1B"/>
                <w:sz w:val="20"/>
                <w:szCs w:val="20"/>
              </w:rPr>
              <w:t xml:space="preserve">Price (R$)</w:t>
            </w:r>
          </w:p>
        </w:tc>
        <w:tc>
          <w:tcPr>
            <w:tcW w:type="dxa" w:w="1500"/>
            <w:tcMar>
              <w:top w:type="dxa" w:w="80"/>
              <w:left w:type="dxa" w:w="120"/>
              <w:bottom w:type="dxa" w:w="80"/>
              <w:right w:type="dxa" w:w="120"/>
            </w:tcMar>
            <w:vAlign w:val="center"/>
          </w:tcPr>
          <w:p>
            <w:pPr>
              <w:jc w:val="center"/>
            </w:pPr>
            <w:r>
              <w:rPr>
                <w:color w:val="1B1B1B"/>
                <w:sz w:val="20"/>
                <w:szCs w:val="20"/>
              </w:rPr>
              <w:t xml:space="preserve">120.65</w:t>
            </w:r>
          </w:p>
        </w:tc>
        <w:tc>
          <w:tcPr>
            <w:tcW w:type="dxa" w:w="1500"/>
            <w:tcMar>
              <w:top w:type="dxa" w:w="80"/>
              <w:left w:type="dxa" w:w="120"/>
              <w:bottom w:type="dxa" w:w="80"/>
              <w:right w:type="dxa" w:w="120"/>
            </w:tcMar>
            <w:vAlign w:val="center"/>
          </w:tcPr>
          <w:p>
            <w:pPr>
              <w:jc w:val="center"/>
            </w:pPr>
            <w:r>
              <w:rPr>
                <w:color w:val="1B1B1B"/>
                <w:sz w:val="20"/>
                <w:szCs w:val="20"/>
              </w:rPr>
              <w:t xml:space="preserve">74.99</w:t>
            </w:r>
          </w:p>
        </w:tc>
        <w:tc>
          <w:tcPr>
            <w:tcW w:type="dxa" w:w="1600"/>
            <w:tcMar>
              <w:top w:type="dxa" w:w="80"/>
              <w:left w:type="dxa" w:w="120"/>
              <w:bottom w:type="dxa" w:w="80"/>
              <w:right w:type="dxa" w:w="120"/>
            </w:tcMar>
            <w:vAlign w:val="center"/>
          </w:tcPr>
          <w:p>
            <w:pPr>
              <w:jc w:val="center"/>
            </w:pPr>
            <w:r>
              <w:rPr>
                <w:color w:val="1B1B1B"/>
                <w:sz w:val="20"/>
                <w:szCs w:val="20"/>
              </w:rPr>
              <w:t xml:space="preserve">183.64</w:t>
            </w:r>
          </w:p>
        </w:tc>
        <w:tc>
          <w:tcPr>
            <w:tcW w:type="dxa" w:w="2340"/>
            <w:tcMar>
              <w:top w:type="dxa" w:w="80"/>
              <w:left w:type="dxa" w:w="120"/>
              <w:bottom w:type="dxa" w:w="80"/>
              <w:right w:type="dxa" w:w="120"/>
            </w:tcMar>
            <w:vAlign w:val="center"/>
          </w:tcPr>
          <w:p>
            <w:pPr>
              <w:jc w:val="center"/>
            </w:pPr>
            <w:r>
              <w:rPr>
                <w:color w:val="1B1B1B"/>
                <w:sz w:val="20"/>
                <w:szCs w:val="20"/>
              </w:rPr>
              <w:t xml:space="preserve">Highly right-skewed</w:t>
            </w:r>
          </w:p>
        </w:tc>
      </w:tr>
    </w:tbl>
    <w:p>
      <w:pPr>
        <w:spacing w:before="200"/>
      </w:pPr>
    </w:p>
    <w:p>
      <w:pPr>
        <w:spacing w:after="160" w:line="276"/>
      </w:pPr>
      <w:r>
        <w:rPr>
          <w:sz w:val="22"/>
          <w:szCs w:val="22"/>
        </w:rPr>
        <w:t xml:space="preserve">Only 7.9% of delivered orders arrive after the estimated delivery date, indicating the business builds a conservative buffer into its promised dates — a strategy that protects customer expectations but may also mask true operational variability (median delivery is over a week earlier than the promise date).</w:t>
      </w:r>
    </w:p>
    <w:p>
      <w:pPr>
        <w:pStyle w:val="Heading2"/>
        <w:spacing w:after="150" w:before="300"/>
      </w:pPr>
      <w:r>
        <w:t xml:space="preserve">4.2 Correlation structure</w:t>
      </w:r>
    </w:p>
    <w:p>
      <w:pPr>
        <w:spacing w:after="160" w:line="276"/>
      </w:pPr>
      <w:r>
        <w:rPr>
          <w:sz w:val="22"/>
          <w:szCs w:val="22"/>
        </w:rPr>
        <w:t xml:space="preserve">A Pearson correlation matrix across price, freight, and delivery-timing variables reveals which factors move together: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00"/>
        <w:gridCol w:w="1300"/>
        <w:gridCol w:w="1300"/>
        <w:gridCol w:w="1140"/>
      </w:tblGrid>
      <w:tr>
        <w:trPr>
          <w:tblHeader/>
        </w:trPr>
        <w:tc>
          <w:tcPr>
            <w:tcW w:type="dxa" w:w="2200"/>
            <w:shd w:fill="1F3B57"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200"/>
            <w:shd w:fill="1F3B57" w:val="clear"/>
            <w:tcMar>
              <w:top w:type="dxa" w:w="80"/>
              <w:left w:type="dxa" w:w="120"/>
              <w:bottom w:type="dxa" w:w="80"/>
              <w:right w:type="dxa" w:w="120"/>
            </w:tcMar>
            <w:vAlign w:val="center"/>
          </w:tcPr>
          <w:p>
            <w:pPr>
              <w:jc w:val="center"/>
            </w:pPr>
            <w:r>
              <w:rPr>
                <w:b/>
                <w:bCs/>
                <w:color w:val="FFFFFF"/>
                <w:sz w:val="20"/>
                <w:szCs w:val="20"/>
              </w:rPr>
              <w:t xml:space="preserve">Price</w:t>
            </w:r>
          </w:p>
        </w:tc>
        <w:tc>
          <w:tcPr>
            <w:tcW w:type="dxa" w:w="1200"/>
            <w:shd w:fill="1F3B57" w:val="clear"/>
            <w:tcMar>
              <w:top w:type="dxa" w:w="80"/>
              <w:left w:type="dxa" w:w="120"/>
              <w:bottom w:type="dxa" w:w="80"/>
              <w:right w:type="dxa" w:w="120"/>
            </w:tcMar>
            <w:vAlign w:val="center"/>
          </w:tcPr>
          <w:p>
            <w:pPr>
              <w:jc w:val="center"/>
            </w:pPr>
            <w:r>
              <w:rPr>
                <w:b/>
                <w:bCs/>
                <w:color w:val="FFFFFF"/>
                <w:sz w:val="20"/>
                <w:szCs w:val="20"/>
              </w:rPr>
              <w:t xml:space="preserve">Freight</w:t>
            </w:r>
          </w:p>
        </w:tc>
        <w:tc>
          <w:tcPr>
            <w:tcW w:type="dxa" w:w="1500"/>
            <w:shd w:fill="1F3B57" w:val="clear"/>
            <w:tcMar>
              <w:top w:type="dxa" w:w="80"/>
              <w:left w:type="dxa" w:w="120"/>
              <w:bottom w:type="dxa" w:w="80"/>
              <w:right w:type="dxa" w:w="120"/>
            </w:tcMar>
            <w:vAlign w:val="center"/>
          </w:tcPr>
          <w:p>
            <w:pPr>
              <w:jc w:val="center"/>
            </w:pPr>
            <w:r>
              <w:rPr>
                <w:b/>
                <w:bCs/>
                <w:color w:val="FFFFFF"/>
                <w:sz w:val="20"/>
                <w:szCs w:val="20"/>
              </w:rPr>
              <w:t xml:space="preserve">Delivery Days</w:t>
            </w:r>
          </w:p>
        </w:tc>
        <w:tc>
          <w:tcPr>
            <w:tcW w:type="dxa" w:w="1300"/>
            <w:shd w:fill="1F3B57" w:val="clear"/>
            <w:tcMar>
              <w:top w:type="dxa" w:w="80"/>
              <w:left w:type="dxa" w:w="120"/>
              <w:bottom w:type="dxa" w:w="80"/>
              <w:right w:type="dxa" w:w="120"/>
            </w:tcMar>
            <w:vAlign w:val="center"/>
          </w:tcPr>
          <w:p>
            <w:pPr>
              <w:jc w:val="center"/>
            </w:pPr>
            <w:r>
              <w:rPr>
                <w:b/>
                <w:bCs/>
                <w:color w:val="FFFFFF"/>
                <w:sz w:val="20"/>
                <w:szCs w:val="20"/>
              </w:rPr>
              <w:t xml:space="preserve">Delay Days</w:t>
            </w:r>
          </w:p>
        </w:tc>
        <w:tc>
          <w:tcPr>
            <w:tcW w:type="dxa" w:w="1300"/>
            <w:shd w:fill="1F3B57" w:val="clear"/>
            <w:tcMar>
              <w:top w:type="dxa" w:w="80"/>
              <w:left w:type="dxa" w:w="120"/>
              <w:bottom w:type="dxa" w:w="80"/>
              <w:right w:type="dxa" w:w="120"/>
            </w:tcMar>
            <w:vAlign w:val="center"/>
          </w:tcPr>
          <w:p>
            <w:pPr>
              <w:jc w:val="center"/>
            </w:pPr>
            <w:r>
              <w:rPr>
                <w:b/>
                <w:bCs/>
                <w:color w:val="FFFFFF"/>
                <w:sz w:val="20"/>
                <w:szCs w:val="20"/>
              </w:rPr>
              <w:t xml:space="preserve">Carrier Days</w:t>
            </w:r>
          </w:p>
        </w:tc>
        <w:tc>
          <w:tcPr>
            <w:tcW w:type="dxa" w:w="1140"/>
            <w:shd w:fill="1F3B57" w:val="clear"/>
            <w:tcMar>
              <w:top w:type="dxa" w:w="80"/>
              <w:left w:type="dxa" w:w="120"/>
              <w:bottom w:type="dxa" w:w="80"/>
              <w:right w:type="dxa" w:w="120"/>
            </w:tcMar>
            <w:vAlign w:val="center"/>
          </w:tcPr>
          <w:p>
            <w:pPr>
              <w:jc w:val="center"/>
            </w:pPr>
            <w:r>
              <w:rPr>
                <w:b/>
                <w:bCs/>
                <w:color w:val="FFFFFF"/>
                <w:sz w:val="20"/>
                <w:szCs w:val="20"/>
              </w:rPr>
              <w:t xml:space="preserve">Weight</w:t>
            </w:r>
          </w:p>
        </w:tc>
      </w:tr>
      <w:tr>
        <w:tc>
          <w:tcPr>
            <w:tcW w:type="dxa" w:w="2200"/>
            <w:tcMar>
              <w:top w:type="dxa" w:w="80"/>
              <w:left w:type="dxa" w:w="120"/>
              <w:bottom w:type="dxa" w:w="80"/>
              <w:right w:type="dxa" w:w="120"/>
            </w:tcMar>
            <w:vAlign w:val="center"/>
          </w:tcPr>
          <w:p>
            <w:pPr>
              <w:jc w:val="left"/>
            </w:pPr>
            <w:r>
              <w:rPr>
                <w:color w:val="1B1B1B"/>
                <w:sz w:val="20"/>
                <w:szCs w:val="20"/>
              </w:rPr>
              <w:t xml:space="preserve">Price</w:t>
            </w:r>
          </w:p>
        </w:tc>
        <w:tc>
          <w:tcPr>
            <w:tcW w:type="dxa" w:w="1200"/>
            <w:tcMar>
              <w:top w:type="dxa" w:w="80"/>
              <w:left w:type="dxa" w:w="120"/>
              <w:bottom w:type="dxa" w:w="80"/>
              <w:right w:type="dxa" w:w="120"/>
            </w:tcMar>
            <w:vAlign w:val="center"/>
          </w:tcPr>
          <w:p>
            <w:pPr>
              <w:jc w:val="center"/>
            </w:pPr>
            <w:r>
              <w:rPr>
                <w:color w:val="1B1B1B"/>
                <w:sz w:val="20"/>
                <w:szCs w:val="20"/>
              </w:rPr>
              <w:t xml:space="preserve">1.00</w:t>
            </w:r>
          </w:p>
        </w:tc>
        <w:tc>
          <w:tcPr>
            <w:tcW w:type="dxa" w:w="1200"/>
            <w:tcMar>
              <w:top w:type="dxa" w:w="80"/>
              <w:left w:type="dxa" w:w="120"/>
              <w:bottom w:type="dxa" w:w="80"/>
              <w:right w:type="dxa" w:w="120"/>
            </w:tcMar>
            <w:vAlign w:val="center"/>
          </w:tcPr>
          <w:p>
            <w:pPr>
              <w:jc w:val="center"/>
            </w:pPr>
            <w:r>
              <w:rPr>
                <w:color w:val="1B1B1B"/>
                <w:sz w:val="20"/>
                <w:szCs w:val="20"/>
              </w:rPr>
              <w:t xml:space="preserve">0.41</w:t>
            </w:r>
          </w:p>
        </w:tc>
        <w:tc>
          <w:tcPr>
            <w:tcW w:type="dxa" w:w="1500"/>
            <w:tcMar>
              <w:top w:type="dxa" w:w="80"/>
              <w:left w:type="dxa" w:w="120"/>
              <w:bottom w:type="dxa" w:w="80"/>
              <w:right w:type="dxa" w:w="120"/>
            </w:tcMar>
            <w:vAlign w:val="center"/>
          </w:tcPr>
          <w:p>
            <w:pPr>
              <w:jc w:val="center"/>
            </w:pPr>
            <w:r>
              <w:rPr>
                <w:color w:val="1B1B1B"/>
                <w:sz w:val="20"/>
                <w:szCs w:val="20"/>
              </w:rPr>
              <w:t xml:space="preserve">0.06</w:t>
            </w:r>
          </w:p>
        </w:tc>
        <w:tc>
          <w:tcPr>
            <w:tcW w:type="dxa" w:w="1300"/>
            <w:tcMar>
              <w:top w:type="dxa" w:w="80"/>
              <w:left w:type="dxa" w:w="120"/>
              <w:bottom w:type="dxa" w:w="80"/>
              <w:right w:type="dxa" w:w="120"/>
            </w:tcMar>
            <w:vAlign w:val="center"/>
          </w:tcPr>
          <w:p>
            <w:pPr>
              <w:jc w:val="center"/>
            </w:pPr>
            <w:r>
              <w:rPr>
                <w:color w:val="1B1B1B"/>
                <w:sz w:val="20"/>
                <w:szCs w:val="20"/>
              </w:rPr>
              <w:t xml:space="preserve">0.00</w:t>
            </w:r>
          </w:p>
        </w:tc>
        <w:tc>
          <w:tcPr>
            <w:tcW w:type="dxa" w:w="1300"/>
            <w:tcMar>
              <w:top w:type="dxa" w:w="80"/>
              <w:left w:type="dxa" w:w="120"/>
              <w:bottom w:type="dxa" w:w="80"/>
              <w:right w:type="dxa" w:w="120"/>
            </w:tcMar>
            <w:vAlign w:val="center"/>
          </w:tcPr>
          <w:p>
            <w:pPr>
              <w:jc w:val="center"/>
            </w:pPr>
            <w:r>
              <w:rPr>
                <w:color w:val="1B1B1B"/>
                <w:sz w:val="20"/>
                <w:szCs w:val="20"/>
              </w:rPr>
              <w:t xml:space="preserve">0.04</w:t>
            </w:r>
          </w:p>
        </w:tc>
        <w:tc>
          <w:tcPr>
            <w:tcW w:type="dxa" w:w="1140"/>
            <w:tcMar>
              <w:top w:type="dxa" w:w="80"/>
              <w:left w:type="dxa" w:w="120"/>
              <w:bottom w:type="dxa" w:w="80"/>
              <w:right w:type="dxa" w:w="120"/>
            </w:tcMar>
            <w:vAlign w:val="center"/>
          </w:tcPr>
          <w:p>
            <w:pPr>
              <w:jc w:val="center"/>
            </w:pPr>
            <w:r>
              <w:rPr>
                <w:color w:val="1B1B1B"/>
                <w:sz w:val="20"/>
                <w:szCs w:val="20"/>
              </w:rPr>
              <w:t xml:space="preserve">0.34</w:t>
            </w:r>
          </w:p>
        </w:tc>
      </w:tr>
      <w:tr>
        <w:tc>
          <w:tcPr>
            <w:tcW w:type="dxa" w:w="2200"/>
            <w:tcMar>
              <w:top w:type="dxa" w:w="80"/>
              <w:left w:type="dxa" w:w="120"/>
              <w:bottom w:type="dxa" w:w="80"/>
              <w:right w:type="dxa" w:w="120"/>
            </w:tcMar>
            <w:vAlign w:val="center"/>
          </w:tcPr>
          <w:p>
            <w:pPr>
              <w:jc w:val="left"/>
            </w:pPr>
            <w:r>
              <w:rPr>
                <w:color w:val="1B1B1B"/>
                <w:sz w:val="20"/>
                <w:szCs w:val="20"/>
              </w:rPr>
              <w:t xml:space="preserve">Freight value</w:t>
            </w:r>
          </w:p>
        </w:tc>
        <w:tc>
          <w:tcPr>
            <w:tcW w:type="dxa" w:w="1200"/>
            <w:tcMar>
              <w:top w:type="dxa" w:w="80"/>
              <w:left w:type="dxa" w:w="120"/>
              <w:bottom w:type="dxa" w:w="80"/>
              <w:right w:type="dxa" w:w="120"/>
            </w:tcMar>
            <w:vAlign w:val="center"/>
          </w:tcPr>
          <w:p>
            <w:pPr>
              <w:jc w:val="center"/>
            </w:pPr>
            <w:r>
              <w:rPr>
                <w:color w:val="1B1B1B"/>
                <w:sz w:val="20"/>
                <w:szCs w:val="20"/>
              </w:rPr>
              <w:t xml:space="preserve">0.41</w:t>
            </w:r>
          </w:p>
        </w:tc>
        <w:tc>
          <w:tcPr>
            <w:tcW w:type="dxa" w:w="1200"/>
            <w:tcMar>
              <w:top w:type="dxa" w:w="80"/>
              <w:left w:type="dxa" w:w="120"/>
              <w:bottom w:type="dxa" w:w="80"/>
              <w:right w:type="dxa" w:w="120"/>
            </w:tcMar>
            <w:vAlign w:val="center"/>
          </w:tcPr>
          <w:p>
            <w:pPr>
              <w:jc w:val="center"/>
            </w:pPr>
            <w:r>
              <w:rPr>
                <w:color w:val="1B1B1B"/>
                <w:sz w:val="20"/>
                <w:szCs w:val="20"/>
              </w:rPr>
              <w:t xml:space="preserve">1.00</w:t>
            </w:r>
          </w:p>
        </w:tc>
        <w:tc>
          <w:tcPr>
            <w:tcW w:type="dxa" w:w="1500"/>
            <w:tcMar>
              <w:top w:type="dxa" w:w="80"/>
              <w:left w:type="dxa" w:w="120"/>
              <w:bottom w:type="dxa" w:w="80"/>
              <w:right w:type="dxa" w:w="120"/>
            </w:tcMar>
            <w:vAlign w:val="center"/>
          </w:tcPr>
          <w:p>
            <w:pPr>
              <w:jc w:val="center"/>
            </w:pPr>
            <w:r>
              <w:rPr>
                <w:color w:val="1B1B1B"/>
                <w:sz w:val="20"/>
                <w:szCs w:val="20"/>
              </w:rPr>
              <w:t xml:space="preserve">0.21</w:t>
            </w:r>
          </w:p>
        </w:tc>
        <w:tc>
          <w:tcPr>
            <w:tcW w:type="dxa" w:w="1300"/>
            <w:tcMar>
              <w:top w:type="dxa" w:w="80"/>
              <w:left w:type="dxa" w:w="120"/>
              <w:bottom w:type="dxa" w:w="80"/>
              <w:right w:type="dxa" w:w="120"/>
            </w:tcMar>
            <w:vAlign w:val="center"/>
          </w:tcPr>
          <w:p>
            <w:pPr>
              <w:jc w:val="center"/>
            </w:pPr>
            <w:r>
              <w:rPr>
                <w:color w:val="1B1B1B"/>
                <w:sz w:val="20"/>
                <w:szCs w:val="20"/>
              </w:rPr>
              <w:t xml:space="preserve">-0.04</w:t>
            </w:r>
          </w:p>
        </w:tc>
        <w:tc>
          <w:tcPr>
            <w:tcW w:type="dxa" w:w="1300"/>
            <w:tcMar>
              <w:top w:type="dxa" w:w="80"/>
              <w:left w:type="dxa" w:w="120"/>
              <w:bottom w:type="dxa" w:w="80"/>
              <w:right w:type="dxa" w:w="120"/>
            </w:tcMar>
            <w:vAlign w:val="center"/>
          </w:tcPr>
          <w:p>
            <w:pPr>
              <w:jc w:val="center"/>
            </w:pPr>
            <w:r>
              <w:rPr>
                <w:color w:val="1B1B1B"/>
                <w:sz w:val="20"/>
                <w:szCs w:val="20"/>
              </w:rPr>
              <w:t xml:space="preserve">0.20</w:t>
            </w:r>
          </w:p>
        </w:tc>
        <w:tc>
          <w:tcPr>
            <w:tcW w:type="dxa" w:w="1140"/>
            <w:tcMar>
              <w:top w:type="dxa" w:w="80"/>
              <w:left w:type="dxa" w:w="120"/>
              <w:bottom w:type="dxa" w:w="80"/>
              <w:right w:type="dxa" w:w="120"/>
            </w:tcMar>
            <w:vAlign w:val="center"/>
          </w:tcPr>
          <w:p>
            <w:pPr>
              <w:jc w:val="center"/>
            </w:pPr>
            <w:r>
              <w:rPr>
                <w:color w:val="1B1B1B"/>
                <w:sz w:val="20"/>
                <w:szCs w:val="20"/>
              </w:rPr>
              <w:t xml:space="preserve">0.61</w:t>
            </w:r>
          </w:p>
        </w:tc>
      </w:tr>
      <w:tr>
        <w:tc>
          <w:tcPr>
            <w:tcW w:type="dxa" w:w="2200"/>
            <w:tcMar>
              <w:top w:type="dxa" w:w="80"/>
              <w:left w:type="dxa" w:w="120"/>
              <w:bottom w:type="dxa" w:w="80"/>
              <w:right w:type="dxa" w:w="120"/>
            </w:tcMar>
            <w:vAlign w:val="center"/>
          </w:tcPr>
          <w:p>
            <w:pPr>
              <w:jc w:val="left"/>
            </w:pPr>
            <w:r>
              <w:rPr>
                <w:color w:val="1B1B1B"/>
                <w:sz w:val="20"/>
                <w:szCs w:val="20"/>
              </w:rPr>
              <w:t xml:space="preserve">Delivery days</w:t>
            </w:r>
          </w:p>
        </w:tc>
        <w:tc>
          <w:tcPr>
            <w:tcW w:type="dxa" w:w="1200"/>
            <w:tcMar>
              <w:top w:type="dxa" w:w="80"/>
              <w:left w:type="dxa" w:w="120"/>
              <w:bottom w:type="dxa" w:w="80"/>
              <w:right w:type="dxa" w:w="120"/>
            </w:tcMar>
            <w:vAlign w:val="center"/>
          </w:tcPr>
          <w:p>
            <w:pPr>
              <w:jc w:val="center"/>
            </w:pPr>
            <w:r>
              <w:rPr>
                <w:color w:val="1B1B1B"/>
                <w:sz w:val="20"/>
                <w:szCs w:val="20"/>
              </w:rPr>
              <w:t xml:space="preserve">0.06</w:t>
            </w:r>
          </w:p>
        </w:tc>
        <w:tc>
          <w:tcPr>
            <w:tcW w:type="dxa" w:w="1200"/>
            <w:tcMar>
              <w:top w:type="dxa" w:w="80"/>
              <w:left w:type="dxa" w:w="120"/>
              <w:bottom w:type="dxa" w:w="80"/>
              <w:right w:type="dxa" w:w="120"/>
            </w:tcMar>
            <w:vAlign w:val="center"/>
          </w:tcPr>
          <w:p>
            <w:pPr>
              <w:jc w:val="center"/>
            </w:pPr>
            <w:r>
              <w:rPr>
                <w:color w:val="1B1B1B"/>
                <w:sz w:val="20"/>
                <w:szCs w:val="20"/>
              </w:rPr>
              <w:t xml:space="preserve">0.21</w:t>
            </w:r>
          </w:p>
        </w:tc>
        <w:tc>
          <w:tcPr>
            <w:tcW w:type="dxa" w:w="1500"/>
            <w:tcMar>
              <w:top w:type="dxa" w:w="80"/>
              <w:left w:type="dxa" w:w="120"/>
              <w:bottom w:type="dxa" w:w="80"/>
              <w:right w:type="dxa" w:w="120"/>
            </w:tcMar>
            <w:vAlign w:val="center"/>
          </w:tcPr>
          <w:p>
            <w:pPr>
              <w:jc w:val="center"/>
            </w:pPr>
            <w:r>
              <w:rPr>
                <w:color w:val="1B1B1B"/>
                <w:sz w:val="20"/>
                <w:szCs w:val="20"/>
              </w:rPr>
              <w:t xml:space="preserve">1.00</w:t>
            </w:r>
          </w:p>
        </w:tc>
        <w:tc>
          <w:tcPr>
            <w:tcW w:type="dxa" w:w="1300"/>
            <w:tcMar>
              <w:top w:type="dxa" w:w="80"/>
              <w:left w:type="dxa" w:w="120"/>
              <w:bottom w:type="dxa" w:w="80"/>
              <w:right w:type="dxa" w:w="120"/>
            </w:tcMar>
            <w:vAlign w:val="center"/>
          </w:tcPr>
          <w:p>
            <w:pPr>
              <w:jc w:val="center"/>
            </w:pPr>
            <w:r>
              <w:rPr>
                <w:color w:val="1B1B1B"/>
                <w:sz w:val="20"/>
                <w:szCs w:val="20"/>
              </w:rPr>
              <w:t xml:space="preserve">0.60</w:t>
            </w:r>
          </w:p>
        </w:tc>
        <w:tc>
          <w:tcPr>
            <w:tcW w:type="dxa" w:w="1300"/>
            <w:tcMar>
              <w:top w:type="dxa" w:w="80"/>
              <w:left w:type="dxa" w:w="120"/>
              <w:bottom w:type="dxa" w:w="80"/>
              <w:right w:type="dxa" w:w="120"/>
            </w:tcMar>
            <w:vAlign w:val="center"/>
          </w:tcPr>
          <w:p>
            <w:pPr>
              <w:jc w:val="center"/>
            </w:pPr>
            <w:r>
              <w:rPr>
                <w:color w:val="1B1B1B"/>
                <w:sz w:val="20"/>
                <w:szCs w:val="20"/>
              </w:rPr>
              <w:t xml:space="preserve">0.92</w:t>
            </w:r>
          </w:p>
        </w:tc>
        <w:tc>
          <w:tcPr>
            <w:tcW w:type="dxa" w:w="1140"/>
            <w:tcMar>
              <w:top w:type="dxa" w:w="80"/>
              <w:left w:type="dxa" w:w="120"/>
              <w:bottom w:type="dxa" w:w="80"/>
              <w:right w:type="dxa" w:w="120"/>
            </w:tcMar>
            <w:vAlign w:val="center"/>
          </w:tcPr>
          <w:p>
            <w:pPr>
              <w:jc w:val="center"/>
            </w:pPr>
            <w:r>
              <w:rPr>
                <w:color w:val="1B1B1B"/>
                <w:sz w:val="20"/>
                <w:szCs w:val="20"/>
              </w:rPr>
              <w:t xml:space="preserve">0.09</w:t>
            </w:r>
          </w:p>
        </w:tc>
      </w:tr>
      <w:tr>
        <w:tc>
          <w:tcPr>
            <w:tcW w:type="dxa" w:w="2200"/>
            <w:tcMar>
              <w:top w:type="dxa" w:w="80"/>
              <w:left w:type="dxa" w:w="120"/>
              <w:bottom w:type="dxa" w:w="80"/>
              <w:right w:type="dxa" w:w="120"/>
            </w:tcMar>
            <w:vAlign w:val="center"/>
          </w:tcPr>
          <w:p>
            <w:pPr>
              <w:jc w:val="left"/>
            </w:pPr>
            <w:r>
              <w:rPr>
                <w:color w:val="1B1B1B"/>
                <w:sz w:val="20"/>
                <w:szCs w:val="20"/>
              </w:rPr>
              <w:t xml:space="preserve">Delay days</w:t>
            </w:r>
          </w:p>
        </w:tc>
        <w:tc>
          <w:tcPr>
            <w:tcW w:type="dxa" w:w="1200"/>
            <w:tcMar>
              <w:top w:type="dxa" w:w="80"/>
              <w:left w:type="dxa" w:w="120"/>
              <w:bottom w:type="dxa" w:w="80"/>
              <w:right w:type="dxa" w:w="120"/>
            </w:tcMar>
            <w:vAlign w:val="center"/>
          </w:tcPr>
          <w:p>
            <w:pPr>
              <w:jc w:val="center"/>
            </w:pPr>
            <w:r>
              <w:rPr>
                <w:color w:val="1B1B1B"/>
                <w:sz w:val="20"/>
                <w:szCs w:val="20"/>
              </w:rPr>
              <w:t xml:space="preserve">0.00</w:t>
            </w:r>
          </w:p>
        </w:tc>
        <w:tc>
          <w:tcPr>
            <w:tcW w:type="dxa" w:w="1200"/>
            <w:tcMar>
              <w:top w:type="dxa" w:w="80"/>
              <w:left w:type="dxa" w:w="120"/>
              <w:bottom w:type="dxa" w:w="80"/>
              <w:right w:type="dxa" w:w="120"/>
            </w:tcMar>
            <w:vAlign w:val="center"/>
          </w:tcPr>
          <w:p>
            <w:pPr>
              <w:jc w:val="center"/>
            </w:pPr>
            <w:r>
              <w:rPr>
                <w:color w:val="1B1B1B"/>
                <w:sz w:val="20"/>
                <w:szCs w:val="20"/>
              </w:rPr>
              <w:t xml:space="preserve">-0.04</w:t>
            </w:r>
          </w:p>
        </w:tc>
        <w:tc>
          <w:tcPr>
            <w:tcW w:type="dxa" w:w="1500"/>
            <w:tcMar>
              <w:top w:type="dxa" w:w="80"/>
              <w:left w:type="dxa" w:w="120"/>
              <w:bottom w:type="dxa" w:w="80"/>
              <w:right w:type="dxa" w:w="120"/>
            </w:tcMar>
            <w:vAlign w:val="center"/>
          </w:tcPr>
          <w:p>
            <w:pPr>
              <w:jc w:val="center"/>
            </w:pPr>
            <w:r>
              <w:rPr>
                <w:color w:val="1B1B1B"/>
                <w:sz w:val="20"/>
                <w:szCs w:val="20"/>
              </w:rPr>
              <w:t xml:space="preserve">0.60</w:t>
            </w:r>
          </w:p>
        </w:tc>
        <w:tc>
          <w:tcPr>
            <w:tcW w:type="dxa" w:w="1300"/>
            <w:tcMar>
              <w:top w:type="dxa" w:w="80"/>
              <w:left w:type="dxa" w:w="120"/>
              <w:bottom w:type="dxa" w:w="80"/>
              <w:right w:type="dxa" w:w="120"/>
            </w:tcMar>
            <w:vAlign w:val="center"/>
          </w:tcPr>
          <w:p>
            <w:pPr>
              <w:jc w:val="center"/>
            </w:pPr>
            <w:r>
              <w:rPr>
                <w:color w:val="1B1B1B"/>
                <w:sz w:val="20"/>
                <w:szCs w:val="20"/>
              </w:rPr>
              <w:t xml:space="preserve">1.00</w:t>
            </w:r>
          </w:p>
        </w:tc>
        <w:tc>
          <w:tcPr>
            <w:tcW w:type="dxa" w:w="1300"/>
            <w:tcMar>
              <w:top w:type="dxa" w:w="80"/>
              <w:left w:type="dxa" w:w="120"/>
              <w:bottom w:type="dxa" w:w="80"/>
              <w:right w:type="dxa" w:w="120"/>
            </w:tcMar>
            <w:vAlign w:val="center"/>
          </w:tcPr>
          <w:p>
            <w:pPr>
              <w:jc w:val="center"/>
            </w:pPr>
            <w:r>
              <w:rPr>
                <w:color w:val="1B1B1B"/>
                <w:sz w:val="20"/>
                <w:szCs w:val="20"/>
              </w:rPr>
              <w:t xml:space="preserve">0.57</w:t>
            </w:r>
          </w:p>
        </w:tc>
        <w:tc>
          <w:tcPr>
            <w:tcW w:type="dxa" w:w="1140"/>
            <w:tcMar>
              <w:top w:type="dxa" w:w="80"/>
              <w:left w:type="dxa" w:w="120"/>
              <w:bottom w:type="dxa" w:w="80"/>
              <w:right w:type="dxa" w:w="120"/>
            </w:tcMar>
            <w:vAlign w:val="center"/>
          </w:tcPr>
          <w:p>
            <w:pPr>
              <w:jc w:val="center"/>
            </w:pPr>
            <w:r>
              <w:rPr>
                <w:color w:val="1B1B1B"/>
                <w:sz w:val="20"/>
                <w:szCs w:val="20"/>
              </w:rPr>
              <w:t xml:space="preserve">0.01</w:t>
            </w:r>
          </w:p>
        </w:tc>
      </w:tr>
      <w:tr>
        <w:tc>
          <w:tcPr>
            <w:tcW w:type="dxa" w:w="2200"/>
            <w:tcMar>
              <w:top w:type="dxa" w:w="80"/>
              <w:left w:type="dxa" w:w="120"/>
              <w:bottom w:type="dxa" w:w="80"/>
              <w:right w:type="dxa" w:w="120"/>
            </w:tcMar>
            <w:vAlign w:val="center"/>
          </w:tcPr>
          <w:p>
            <w:pPr>
              <w:jc w:val="left"/>
            </w:pPr>
            <w:r>
              <w:rPr>
                <w:color w:val="1B1B1B"/>
                <w:sz w:val="20"/>
                <w:szCs w:val="20"/>
              </w:rPr>
              <w:t xml:space="preserve">Carrier transit days</w:t>
            </w:r>
          </w:p>
        </w:tc>
        <w:tc>
          <w:tcPr>
            <w:tcW w:type="dxa" w:w="1200"/>
            <w:tcMar>
              <w:top w:type="dxa" w:w="80"/>
              <w:left w:type="dxa" w:w="120"/>
              <w:bottom w:type="dxa" w:w="80"/>
              <w:right w:type="dxa" w:w="120"/>
            </w:tcMar>
            <w:vAlign w:val="center"/>
          </w:tcPr>
          <w:p>
            <w:pPr>
              <w:jc w:val="center"/>
            </w:pPr>
            <w:r>
              <w:rPr>
                <w:color w:val="1B1B1B"/>
                <w:sz w:val="20"/>
                <w:szCs w:val="20"/>
              </w:rPr>
              <w:t xml:space="preserve">0.04</w:t>
            </w:r>
          </w:p>
        </w:tc>
        <w:tc>
          <w:tcPr>
            <w:tcW w:type="dxa" w:w="1200"/>
            <w:tcMar>
              <w:top w:type="dxa" w:w="80"/>
              <w:left w:type="dxa" w:w="120"/>
              <w:bottom w:type="dxa" w:w="80"/>
              <w:right w:type="dxa" w:w="120"/>
            </w:tcMar>
            <w:vAlign w:val="center"/>
          </w:tcPr>
          <w:p>
            <w:pPr>
              <w:jc w:val="center"/>
            </w:pPr>
            <w:r>
              <w:rPr>
                <w:color w:val="1B1B1B"/>
                <w:sz w:val="20"/>
                <w:szCs w:val="20"/>
              </w:rPr>
              <w:t xml:space="preserve">0.20</w:t>
            </w:r>
          </w:p>
        </w:tc>
        <w:tc>
          <w:tcPr>
            <w:tcW w:type="dxa" w:w="1500"/>
            <w:tcMar>
              <w:top w:type="dxa" w:w="80"/>
              <w:left w:type="dxa" w:w="120"/>
              <w:bottom w:type="dxa" w:w="80"/>
              <w:right w:type="dxa" w:w="120"/>
            </w:tcMar>
            <w:vAlign w:val="center"/>
          </w:tcPr>
          <w:p>
            <w:pPr>
              <w:jc w:val="center"/>
            </w:pPr>
            <w:r>
              <w:rPr>
                <w:color w:val="1B1B1B"/>
                <w:sz w:val="20"/>
                <w:szCs w:val="20"/>
              </w:rPr>
              <w:t xml:space="preserve">0.92</w:t>
            </w:r>
          </w:p>
        </w:tc>
        <w:tc>
          <w:tcPr>
            <w:tcW w:type="dxa" w:w="1300"/>
            <w:tcMar>
              <w:top w:type="dxa" w:w="80"/>
              <w:left w:type="dxa" w:w="120"/>
              <w:bottom w:type="dxa" w:w="80"/>
              <w:right w:type="dxa" w:w="120"/>
            </w:tcMar>
            <w:vAlign w:val="center"/>
          </w:tcPr>
          <w:p>
            <w:pPr>
              <w:jc w:val="center"/>
            </w:pPr>
            <w:r>
              <w:rPr>
                <w:color w:val="1B1B1B"/>
                <w:sz w:val="20"/>
                <w:szCs w:val="20"/>
              </w:rPr>
              <w:t xml:space="preserve">0.57</w:t>
            </w:r>
          </w:p>
        </w:tc>
        <w:tc>
          <w:tcPr>
            <w:tcW w:type="dxa" w:w="1300"/>
            <w:tcMar>
              <w:top w:type="dxa" w:w="80"/>
              <w:left w:type="dxa" w:w="120"/>
              <w:bottom w:type="dxa" w:w="80"/>
              <w:right w:type="dxa" w:w="120"/>
            </w:tcMar>
            <w:vAlign w:val="center"/>
          </w:tcPr>
          <w:p>
            <w:pPr>
              <w:jc w:val="center"/>
            </w:pPr>
            <w:r>
              <w:rPr>
                <w:color w:val="1B1B1B"/>
                <w:sz w:val="20"/>
                <w:szCs w:val="20"/>
              </w:rPr>
              <w:t xml:space="preserve">1.00</w:t>
            </w:r>
          </w:p>
        </w:tc>
        <w:tc>
          <w:tcPr>
            <w:tcW w:type="dxa" w:w="1140"/>
            <w:tcMar>
              <w:top w:type="dxa" w:w="80"/>
              <w:left w:type="dxa" w:w="120"/>
              <w:bottom w:type="dxa" w:w="80"/>
              <w:right w:type="dxa" w:w="120"/>
            </w:tcMar>
            <w:vAlign w:val="center"/>
          </w:tcPr>
          <w:p>
            <w:pPr>
              <w:jc w:val="center"/>
            </w:pPr>
            <w:r>
              <w:rPr>
                <w:color w:val="1B1B1B"/>
                <w:sz w:val="20"/>
                <w:szCs w:val="20"/>
              </w:rPr>
              <w:t xml:space="preserve">0.03</w:t>
            </w:r>
          </w:p>
        </w:tc>
      </w:tr>
      <w:tr>
        <w:tc>
          <w:tcPr>
            <w:tcW w:type="dxa" w:w="2200"/>
            <w:tcMar>
              <w:top w:type="dxa" w:w="80"/>
              <w:left w:type="dxa" w:w="120"/>
              <w:bottom w:type="dxa" w:w="80"/>
              <w:right w:type="dxa" w:w="120"/>
            </w:tcMar>
            <w:vAlign w:val="center"/>
          </w:tcPr>
          <w:p>
            <w:pPr>
              <w:jc w:val="left"/>
            </w:pPr>
            <w:r>
              <w:rPr>
                <w:color w:val="1B1B1B"/>
                <w:sz w:val="20"/>
                <w:szCs w:val="20"/>
              </w:rPr>
              <w:t xml:space="preserve">Product weight</w:t>
            </w:r>
          </w:p>
        </w:tc>
        <w:tc>
          <w:tcPr>
            <w:tcW w:type="dxa" w:w="1200"/>
            <w:tcMar>
              <w:top w:type="dxa" w:w="80"/>
              <w:left w:type="dxa" w:w="120"/>
              <w:bottom w:type="dxa" w:w="80"/>
              <w:right w:type="dxa" w:w="120"/>
            </w:tcMar>
            <w:vAlign w:val="center"/>
          </w:tcPr>
          <w:p>
            <w:pPr>
              <w:jc w:val="center"/>
            </w:pPr>
            <w:r>
              <w:rPr>
                <w:color w:val="1B1B1B"/>
                <w:sz w:val="20"/>
                <w:szCs w:val="20"/>
              </w:rPr>
              <w:t xml:space="preserve">0.34</w:t>
            </w:r>
          </w:p>
        </w:tc>
        <w:tc>
          <w:tcPr>
            <w:tcW w:type="dxa" w:w="1200"/>
            <w:tcMar>
              <w:top w:type="dxa" w:w="80"/>
              <w:left w:type="dxa" w:w="120"/>
              <w:bottom w:type="dxa" w:w="80"/>
              <w:right w:type="dxa" w:w="120"/>
            </w:tcMar>
            <w:vAlign w:val="center"/>
          </w:tcPr>
          <w:p>
            <w:pPr>
              <w:jc w:val="center"/>
            </w:pPr>
            <w:r>
              <w:rPr>
                <w:color w:val="1B1B1B"/>
                <w:sz w:val="20"/>
                <w:szCs w:val="20"/>
              </w:rPr>
              <w:t xml:space="preserve">0.61</w:t>
            </w:r>
          </w:p>
        </w:tc>
        <w:tc>
          <w:tcPr>
            <w:tcW w:type="dxa" w:w="1500"/>
            <w:tcMar>
              <w:top w:type="dxa" w:w="80"/>
              <w:left w:type="dxa" w:w="120"/>
              <w:bottom w:type="dxa" w:w="80"/>
              <w:right w:type="dxa" w:w="120"/>
            </w:tcMar>
            <w:vAlign w:val="center"/>
          </w:tcPr>
          <w:p>
            <w:pPr>
              <w:jc w:val="center"/>
            </w:pPr>
            <w:r>
              <w:rPr>
                <w:color w:val="1B1B1B"/>
                <w:sz w:val="20"/>
                <w:szCs w:val="20"/>
              </w:rPr>
              <w:t xml:space="preserve">0.09</w:t>
            </w:r>
          </w:p>
        </w:tc>
        <w:tc>
          <w:tcPr>
            <w:tcW w:type="dxa" w:w="1300"/>
            <w:tcMar>
              <w:top w:type="dxa" w:w="80"/>
              <w:left w:type="dxa" w:w="120"/>
              <w:bottom w:type="dxa" w:w="80"/>
              <w:right w:type="dxa" w:w="120"/>
            </w:tcMar>
            <w:vAlign w:val="center"/>
          </w:tcPr>
          <w:p>
            <w:pPr>
              <w:jc w:val="center"/>
            </w:pPr>
            <w:r>
              <w:rPr>
                <w:color w:val="1B1B1B"/>
                <w:sz w:val="20"/>
                <w:szCs w:val="20"/>
              </w:rPr>
              <w:t xml:space="preserve">0.01</w:t>
            </w:r>
          </w:p>
        </w:tc>
        <w:tc>
          <w:tcPr>
            <w:tcW w:type="dxa" w:w="1300"/>
            <w:tcMar>
              <w:top w:type="dxa" w:w="80"/>
              <w:left w:type="dxa" w:w="120"/>
              <w:bottom w:type="dxa" w:w="80"/>
              <w:right w:type="dxa" w:w="120"/>
            </w:tcMar>
            <w:vAlign w:val="center"/>
          </w:tcPr>
          <w:p>
            <w:pPr>
              <w:jc w:val="center"/>
            </w:pPr>
            <w:r>
              <w:rPr>
                <w:color w:val="1B1B1B"/>
                <w:sz w:val="20"/>
                <w:szCs w:val="20"/>
              </w:rPr>
              <w:t xml:space="preserve">0.03</w:t>
            </w:r>
          </w:p>
        </w:tc>
        <w:tc>
          <w:tcPr>
            <w:tcW w:type="dxa" w:w="1140"/>
            <w:tcMar>
              <w:top w:type="dxa" w:w="80"/>
              <w:left w:type="dxa" w:w="120"/>
              <w:bottom w:type="dxa" w:w="80"/>
              <w:right w:type="dxa" w:w="120"/>
            </w:tcMar>
            <w:vAlign w:val="center"/>
          </w:tcPr>
          <w:p>
            <w:pPr>
              <w:jc w:val="center"/>
            </w:pPr>
            <w:r>
              <w:rPr>
                <w:color w:val="1B1B1B"/>
                <w:sz w:val="20"/>
                <w:szCs w:val="20"/>
              </w:rPr>
              <w:t xml:space="preserve">1.00</w:t>
            </w:r>
          </w:p>
        </w:tc>
      </w:tr>
    </w:tbl>
    <w:p>
      <w:pPr>
        <w:spacing w:before="200"/>
      </w:pPr>
    </w:p>
    <w:p>
      <w:pPr>
        <w:spacing w:after="160" w:line="276"/>
      </w:pPr>
      <w:r>
        <w:rPr>
          <w:sz w:val="22"/>
          <w:szCs w:val="22"/>
        </w:rPr>
        <w:t xml:space="preserve">Two relationships stand out. First, carrier transit time is almost perfectly correlated with total delivery time (r = 0.92) — the time an order spends in the carrier's hands, not order processing, is what determines whether a customer waits a long time. Second, freight cost correlates strongly with product weight (r = 0.61) and moderately with price (r = 0.41), confirming that shipping is priced primarily on physical bulk rather than declared value.</w:t>
      </w:r>
    </w:p>
    <w:p>
      <w:r>
        <w:br w:type="page"/>
      </w:r>
    </w:p>
    <w:p>
      <w:pPr>
        <w:pStyle w:val="Heading1"/>
        <w:spacing w:after="200" w:before="400"/>
      </w:pPr>
      <w:r>
        <w:t xml:space="preserve">5. Visualizations and Interpretation</w:t>
      </w:r>
    </w:p>
    <w:p>
      <w:pPr>
        <w:spacing w:after="160" w:line="276"/>
      </w:pPr>
      <w:r>
        <w:rPr>
          <w:sz w:val="22"/>
          <w:szCs w:val="22"/>
        </w:rPr>
        <w:t xml:space="preserve">Ten visualizations were produced, each selected to match a specific analytical question — distribution shape, trend over time, categorical comparison, bivariate relationship, or multivariate correlation. Every chart is followed by a direct interpretation of what it means operationally.</w:t>
      </w:r>
    </w:p>
    <w:p>
      <w:pPr>
        <w:pStyle w:val="Heading2"/>
        <w:spacing w:after="150" w:before="300"/>
      </w:pPr>
      <w:r>
        <w:t xml:space="preserve">5.1 Distribution of Delivery Times</w:t>
      </w:r>
    </w:p>
    <w:p>
      <w:pPr>
        <w:spacing w:after="160" w:line="276"/>
      </w:pPr>
      <w:r>
        <w:rPr>
          <w:sz w:val="22"/>
          <w:szCs w:val="22"/>
        </w:rPr>
        <w:t xml:space="preserve">A histogram with a density overlay is the right tool to see the overall shape of delivery times — whether they cluster tightly or spread into a long tail of slow shipments.</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color w:val="595959"/>
          <w:sz w:val="19"/>
          <w:szCs w:val="19"/>
        </w:rPr>
        <w:t xml:space="preserve">Figure 1. Distribution of delivery days, capped at 40 for readability. Median = 10.2 days.</w:t>
      </w:r>
    </w:p>
    <w:p>
      <w:pPr>
        <w:spacing w:after="160" w:line="276"/>
      </w:pPr>
      <w:r>
        <w:rPr>
          <w:i w:val="false"/>
          <w:iCs w:val="false"/>
          <w:sz w:val="22"/>
          <w:szCs w:val="22"/>
        </w:rPr>
        <w:t xml:space="preserve">Insight: The distribution is right-skewed: most orders arrive within 6–16 days, but a meaningful tail extends past 30 days. This tail — not the typical case — is where operational risk and customer dissatisfaction concentrate, and is a better target for intervention than the median.</w:t>
      </w:r>
    </w:p>
    <w:p>
      <w:pPr>
        <w:pStyle w:val="Heading2"/>
        <w:spacing w:after="150" w:before="300"/>
      </w:pPr>
      <w:r>
        <w:t xml:space="preserve">5.2 Delivery Delay Distribution (On-Time Performance)</w:t>
      </w:r>
    </w:p>
    <w:p>
      <w:pPr>
        <w:spacing w:after="160" w:line="276"/>
      </w:pPr>
      <w:r>
        <w:rPr>
          <w:sz w:val="22"/>
          <w:szCs w:val="22"/>
        </w:rPr>
        <w:t xml:space="preserve">Plotting delay relative to the promised date (rather than raw delivery time) directly measures whether the business is meeting its commitments.</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color w:val="595959"/>
          <w:sz w:val="19"/>
          <w:szCs w:val="19"/>
        </w:rPr>
        <w:t xml:space="preserve">Figure 2. Delivery delay vs. estimate; negative values indicate early delivery.</w:t>
      </w:r>
    </w:p>
    <w:p>
      <w:pPr>
        <w:spacing w:after="160" w:line="276"/>
      </w:pPr>
      <w:r>
        <w:rPr>
          <w:i w:val="false"/>
          <w:iCs w:val="false"/>
          <w:sz w:val="22"/>
          <w:szCs w:val="22"/>
        </w:rPr>
        <w:t xml:space="preserve">Insight: The bulk of the distribution sits well to the left of zero, confirming that estimated delivery dates carry substantial built-in slack. The right tail past zero — the 7.9% of late orders — represents the segment most likely to drive support tickets and churn, and is small enough to be addressable with targeted intervention rather than a network-wide overhaul.</w:t>
      </w:r>
    </w:p>
    <w:p>
      <w:pPr>
        <w:pStyle w:val="Heading2"/>
        <w:spacing w:after="150" w:before="300"/>
      </w:pPr>
      <w:r>
        <w:t xml:space="preserve">5.3 Monthly Shipment Volume Trend</w:t>
      </w:r>
    </w:p>
    <w:p>
      <w:pPr>
        <w:spacing w:after="160" w:line="276"/>
      </w:pPr>
      <w:r>
        <w:rPr>
          <w:sz w:val="22"/>
          <w:szCs w:val="22"/>
        </w:rPr>
        <w:t xml:space="preserve">A line chart over time is the standard choice for revealing trend, seasonality, and demand spikes in operational volume.</w:t>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40"/>
        <w:jc w:val="center"/>
      </w:pPr>
      <w:r>
        <w:rPr>
          <w:i/>
          <w:iCs/>
          <w:color w:val="595959"/>
          <w:sz w:val="19"/>
          <w:szCs w:val="19"/>
        </w:rPr>
        <w:t xml:space="preserve">Figure 3. Monthly order-item volume, Jul 2017 – Aug 2018.</w:t>
      </w:r>
    </w:p>
    <w:p>
      <w:pPr>
        <w:spacing w:after="160" w:line="276"/>
      </w:pPr>
      <w:r>
        <w:rPr>
          <w:i w:val="false"/>
          <w:iCs w:val="false"/>
          <w:sz w:val="22"/>
          <w:szCs w:val="22"/>
        </w:rPr>
        <w:t xml:space="preserve">Insight: Volume grew steadily through 2017, with a sharp spike in November 2017 (Black Friday / Black November, a major Brazilian retail event) before settling into a higher plateau of 7,000–8,200 items/month through mid-2018. Seasonal peaks like this are exactly when carrier capacity constraints translate into the longest delivery tails seen in Figure 1.</w:t>
      </w:r>
    </w:p>
    <w:p>
      <w:pPr>
        <w:pStyle w:val="Heading2"/>
        <w:spacing w:after="150" w:before="300"/>
      </w:pPr>
      <w:r>
        <w:t xml:space="preserve">5.4 Average Delivery Time by Product Category</w:t>
      </w:r>
    </w:p>
    <w:p>
      <w:pPr>
        <w:spacing w:after="160" w:line="276"/>
      </w:pPr>
      <w:r>
        <w:rPr>
          <w:sz w:val="22"/>
          <w:szCs w:val="22"/>
        </w:rPr>
        <w:t xml:space="preserve">A horizontal bar chart ranks categories clearly and scales well to category-name length, making it ideal for comparing many groups at once.</w:t>
      </w:r>
    </w:p>
    <w:p>
      <w:pPr>
        <w:spacing w:after="60" w:before="12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19500"/>
                    </a:xfrm>
                    <a:prstGeom prst="rect">
                      <a:avLst/>
                    </a:prstGeom>
                  </pic:spPr>
                </pic:pic>
              </a:graphicData>
            </a:graphic>
          </wp:inline>
        </w:drawing>
      </w:r>
    </w:p>
    <w:p>
      <w:pPr>
        <w:spacing w:after="240"/>
        <w:jc w:val="center"/>
      </w:pPr>
      <w:r>
        <w:rPr>
          <w:i/>
          <w:iCs/>
          <w:color w:val="595959"/>
          <w:sz w:val="19"/>
          <w:szCs w:val="19"/>
        </w:rPr>
        <w:t xml:space="preserve">Figure 4. Average delivery days for categories with 1,500+ orders; slowest category highlighted.</w:t>
      </w:r>
    </w:p>
    <w:p>
      <w:pPr>
        <w:spacing w:after="160" w:line="276"/>
      </w:pPr>
      <w:r>
        <w:rPr>
          <w:i w:val="false"/>
          <w:iCs w:val="false"/>
          <w:sz w:val="22"/>
          <w:szCs w:val="22"/>
        </w:rPr>
        <w:t xml:space="preserve">Insight: Office furniture stands out as the clear outlier at 20.8 days — nearly double the fastest categories — consistent with bulky, harder-to-ship goods. Garden tools, consoles/games, and computer accessories also run above the network average, suggesting either bulkier packaging, supplier concentration in distant states, or lower carrier prioritization for these categories.</w:t>
      </w:r>
    </w:p>
    <w:p>
      <w:pPr>
        <w:pStyle w:val="Heading2"/>
        <w:spacing w:after="150" w:before="300"/>
      </w:pPr>
      <w:r>
        <w:t xml:space="preserve">5.5 Freight Cost vs. Product Weight</w:t>
      </w:r>
    </w:p>
    <w:p>
      <w:pPr>
        <w:spacing w:after="160" w:line="276"/>
      </w:pPr>
      <w:r>
        <w:rPr>
          <w:sz w:val="22"/>
          <w:szCs w:val="22"/>
        </w:rPr>
        <w:t xml:space="preserve">A scatter plot is the natural choice for examining the relationship between two continuous variables at the individual-shipment level.</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95959"/>
          <w:sz w:val="19"/>
          <w:szCs w:val="19"/>
        </w:rPr>
        <w:t xml:space="preserve">Figure 5. Freight value vs. product weight (6,000-order sample, 99th-percentile capped).</w:t>
      </w:r>
    </w:p>
    <w:p>
      <w:pPr>
        <w:spacing w:after="160" w:line="276"/>
      </w:pPr>
      <w:r>
        <w:rPr>
          <w:i w:val="false"/>
          <w:iCs w:val="false"/>
          <w:sz w:val="22"/>
          <w:szCs w:val="22"/>
        </w:rPr>
        <w:t xml:space="preserve">Insight: Freight cost rises with weight but with wide dispersion at every weight level, meaning weight alone does not fully determine shipping cost — carrier zone, dimensional weight, and possibly inconsistent rate application also play a role. This dispersion is a natural place to look for freight-cost outliers and pricing inconsistencies.</w:t>
      </w:r>
    </w:p>
    <w:p>
      <w:pPr>
        <w:pStyle w:val="Heading2"/>
        <w:spacing w:after="150" w:before="300"/>
      </w:pPr>
      <w:r>
        <w:t xml:space="preserve">5.6 Correlation Matrix: Cost and Delivery Metrics</w:t>
      </w:r>
    </w:p>
    <w:p>
      <w:pPr>
        <w:spacing w:after="160" w:line="276"/>
      </w:pPr>
      <w:r>
        <w:rPr>
          <w:sz w:val="22"/>
          <w:szCs w:val="22"/>
        </w:rPr>
        <w:t xml:space="preserve">A heatmap condenses a full correlation matrix into an at-a-glance view, letting readers immediately spot the strongest and weakest relationships without scanning a table of numbers.</w:t>
      </w:r>
    </w:p>
    <w:p>
      <w:pPr>
        <w:spacing w:after="60" w:before="120"/>
        <w:jc w:val="center"/>
      </w:pPr>
      <w:r>
        <w:drawing>
          <wp:inline distT="0" distB="0" distL="0" distR="0">
            <wp:extent cx="4095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619500"/>
                    </a:xfrm>
                    <a:prstGeom prst="rect">
                      <a:avLst/>
                    </a:prstGeom>
                  </pic:spPr>
                </pic:pic>
              </a:graphicData>
            </a:graphic>
          </wp:inline>
        </w:drawing>
      </w:r>
    </w:p>
    <w:p>
      <w:pPr>
        <w:spacing w:after="240"/>
        <w:jc w:val="center"/>
      </w:pPr>
      <w:r>
        <w:rPr>
          <w:i/>
          <w:iCs/>
          <w:color w:val="595959"/>
          <w:sz w:val="19"/>
          <w:szCs w:val="19"/>
        </w:rPr>
        <w:t xml:space="preserve">Figure 6. Pearson correlation heatmap across price, freight, and delivery-timing variables.</w:t>
      </w:r>
    </w:p>
    <w:p>
      <w:pPr>
        <w:spacing w:after="160" w:line="276"/>
      </w:pPr>
      <w:r>
        <w:rPr>
          <w:i w:val="false"/>
          <w:iCs w:val="false"/>
          <w:sz w:val="22"/>
          <w:szCs w:val="22"/>
        </w:rPr>
        <w:t xml:space="preserve">Insight: The heatmap makes visually obvious what the table in Section 4.2 shows numerically: carrier transit time (0.92) is by far the strongest driver of total delivery time, dwarfing the influence of price or product weight. This should guide where operational investment goes — into carrier and network performance, not into product-level pricing changes.</w:t>
      </w:r>
    </w:p>
    <w:p>
      <w:pPr>
        <w:pStyle w:val="Heading2"/>
        <w:spacing w:after="150" w:before="300"/>
      </w:pPr>
      <w:r>
        <w:t xml:space="preserve">5.7 Delivery Time Spread by Customer State</w:t>
      </w:r>
    </w:p>
    <w:p>
      <w:pPr>
        <w:spacing w:after="160" w:line="276"/>
      </w:pPr>
      <w:r>
        <w:rPr>
          <w:sz w:val="22"/>
          <w:szCs w:val="22"/>
        </w:rPr>
        <w:t xml:space="preserve">A box plot shows both the typical delivery time and its variability per state in one view, which a simple bar chart of averages would hide.</w:t>
      </w:r>
    </w:p>
    <w:p>
      <w:pPr>
        <w:spacing w:after="6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52750"/>
                    </a:xfrm>
                    <a:prstGeom prst="rect">
                      <a:avLst/>
                    </a:prstGeom>
                  </pic:spPr>
                </pic:pic>
              </a:graphicData>
            </a:graphic>
          </wp:inline>
        </w:drawing>
      </w:r>
    </w:p>
    <w:p>
      <w:pPr>
        <w:spacing w:after="240"/>
        <w:jc w:val="center"/>
      </w:pPr>
      <w:r>
        <w:rPr>
          <w:i/>
          <w:iCs/>
          <w:color w:val="595959"/>
          <w:sz w:val="19"/>
          <w:szCs w:val="19"/>
        </w:rPr>
        <w:t xml:space="preserve">Figure 7. Delivery-day distribution for the 8 highest-volume customer states, ordered by median.</w:t>
      </w:r>
    </w:p>
    <w:p>
      <w:pPr>
        <w:spacing w:after="160" w:line="276"/>
      </w:pPr>
      <w:r>
        <w:rPr>
          <w:i w:val="false"/>
          <w:iCs w:val="false"/>
          <w:sz w:val="22"/>
          <w:szCs w:val="22"/>
        </w:rPr>
        <w:t xml:space="preserve">Insight: States such as Bahia (BA) and Espírito Santo (ES) show both a higher median delivery time and a wider interquartile spread than São Paulo (SP), meaning customers there face a double disadvantage: shipments are slower on average and less predictable. SP's tight, low box reflects its proximity to the seller base.</w:t>
      </w:r>
    </w:p>
    <w:p>
      <w:pPr>
        <w:pStyle w:val="Heading2"/>
        <w:spacing w:after="150" w:before="300"/>
      </w:pPr>
      <w:r>
        <w:t xml:space="preserve">5.8 Late-Delivery Rate by Customer State</w:t>
      </w:r>
    </w:p>
    <w:p>
      <w:pPr>
        <w:spacing w:after="160" w:line="276"/>
      </w:pPr>
      <w:r>
        <w:rPr>
          <w:sz w:val="22"/>
          <w:szCs w:val="22"/>
        </w:rPr>
        <w:t xml:space="preserve">A bar chart with a reference line for the network average is the clearest way to flag which segments over- or under-perform a benchmark.</w:t>
      </w:r>
    </w:p>
    <w:p>
      <w:pPr>
        <w:spacing w:after="6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52750"/>
                    </a:xfrm>
                    <a:prstGeom prst="rect">
                      <a:avLst/>
                    </a:prstGeom>
                  </pic:spPr>
                </pic:pic>
              </a:graphicData>
            </a:graphic>
          </wp:inline>
        </w:drawing>
      </w:r>
    </w:p>
    <w:p>
      <w:pPr>
        <w:spacing w:after="240"/>
        <w:jc w:val="center"/>
      </w:pPr>
      <w:r>
        <w:rPr>
          <w:i/>
          <w:iCs/>
          <w:color w:val="595959"/>
          <w:sz w:val="19"/>
          <w:szCs w:val="19"/>
        </w:rPr>
        <w:t xml:space="preserve">Figure 8. Share of orders delivered after the estimated date, by state, vs. the 7.9% network average.</w:t>
      </w:r>
    </w:p>
    <w:p>
      <w:pPr>
        <w:spacing w:after="160" w:line="276"/>
      </w:pPr>
      <w:r>
        <w:rPr>
          <w:i w:val="false"/>
          <w:iCs w:val="false"/>
          <w:sz w:val="22"/>
          <w:szCs w:val="22"/>
        </w:rPr>
        <w:t xml:space="preserve">Insight: Bahia (13.7%), Rio de Janeiro (13.0%), and Espírito Santo (12.2%) all run at roughly 1.5–1.7x the network late-delivery rate, while São Paulo, Minas Gerais, and Paraná sit at or below average. This geographic clustering of late deliveries is consistent with distance-from-hub effects and is a strong candidate for regional carrier renegotiation or regional fulfillment centers.</w:t>
      </w:r>
    </w:p>
    <w:p>
      <w:pPr>
        <w:pStyle w:val="Heading2"/>
        <w:spacing w:after="150" w:before="300"/>
      </w:pPr>
      <w:r>
        <w:t xml:space="preserve">5.9 Same-State vs. Cross-State Shipments</w:t>
      </w:r>
    </w:p>
    <w:p>
      <w:pPr>
        <w:spacing w:after="160" w:line="276"/>
      </w:pPr>
      <w:r>
        <w:rPr>
          <w:sz w:val="22"/>
          <w:szCs w:val="22"/>
        </w:rPr>
        <w:t xml:space="preserve">A paired bar comparison isolates a single structural factor — whether the seller and customer share a state — against two outcome metrics side by side.</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76500"/>
                    </a:xfrm>
                    <a:prstGeom prst="rect">
                      <a:avLst/>
                    </a:prstGeom>
                  </pic:spPr>
                </pic:pic>
              </a:graphicData>
            </a:graphic>
          </wp:inline>
        </w:drawing>
      </w:r>
    </w:p>
    <w:p>
      <w:pPr>
        <w:spacing w:after="240"/>
        <w:jc w:val="center"/>
      </w:pPr>
      <w:r>
        <w:rPr>
          <w:i/>
          <w:iCs/>
          <w:color w:val="595959"/>
          <w:sz w:val="19"/>
          <w:szCs w:val="19"/>
        </w:rPr>
        <w:t xml:space="preserve">Figure 9. Average delivery days and late-delivery rate, same-state vs. cross-state shipments.</w:t>
      </w:r>
    </w:p>
    <w:p>
      <w:pPr>
        <w:spacing w:after="160" w:line="276"/>
      </w:pPr>
      <w:r>
        <w:rPr>
          <w:i w:val="false"/>
          <w:iCs w:val="false"/>
          <w:sz w:val="22"/>
          <w:szCs w:val="22"/>
        </w:rPr>
        <w:t xml:space="preserve">Insight: The effect of shipment distance is stark: same-state shipments average 7.9 days with a 6.0% late rate, while cross-state shipments average 15.0 days — almost double — with a 9.0% late rate. This single factor explains a large share of the state-level variation seen in Figures 7 and 8, and points directly toward the value of regional fulfillment or local seller sourcing.</w:t>
      </w:r>
    </w:p>
    <w:p>
      <w:pPr>
        <w:pStyle w:val="Heading2"/>
        <w:spacing w:after="150" w:before="300"/>
      </w:pPr>
      <w:r>
        <w:t xml:space="preserve">5.10 Order Price vs. Freight Value</w:t>
      </w:r>
    </w:p>
    <w:p>
      <w:pPr>
        <w:spacing w:after="160" w:line="276"/>
      </w:pPr>
      <w:r>
        <w:rPr>
          <w:sz w:val="22"/>
          <w:szCs w:val="22"/>
        </w:rPr>
        <w:t xml:space="preserve">Adding a regression line to a scatter plot quantifies the direction and strength of the price–freight relationship beyond what the correlation coefficient alone conveys visually.</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95959"/>
          <w:sz w:val="19"/>
          <w:szCs w:val="19"/>
        </w:rPr>
        <w:t xml:space="preserve">Figure 10. Price vs. freight value with fitted trend line (freight outliers excluded, 98th-percentile capped).</w:t>
      </w:r>
    </w:p>
    <w:p>
      <w:pPr>
        <w:spacing w:after="160" w:line="276"/>
      </w:pPr>
      <w:r>
        <w:rPr>
          <w:i w:val="false"/>
          <w:iCs w:val="false"/>
          <w:sz w:val="22"/>
          <w:szCs w:val="22"/>
        </w:rPr>
        <w:t xml:space="preserve">Insight: Freight rises with price but far more gently than one-to-one, and the relationship is noisy — many low-priced items still carry substantial freight charges. This reinforces that freight pricing is driven more by physical shipping characteristics (Figure 5) than by the value of the goods, an important distinction for setting free-shipping thresholds or bundling strategies.</w:t>
      </w:r>
    </w:p>
    <w:p>
      <w:r>
        <w:br w:type="page"/>
      </w:r>
    </w:p>
    <w:p>
      <w:pPr>
        <w:pStyle w:val="Heading1"/>
        <w:spacing w:after="200" w:before="400"/>
      </w:pPr>
      <w:r>
        <w:t xml:space="preserve">6. Analytical Insights and Recommendations</w:t>
      </w:r>
    </w:p>
    <w:p>
      <w:pPr>
        <w:pStyle w:val="Heading2"/>
        <w:spacing w:after="150" w:before="300"/>
      </w:pPr>
      <w:r>
        <w:t xml:space="preserve">6.1 Operational efficiency</w:t>
      </w:r>
    </w:p>
    <w:p>
      <w:pPr>
        <w:pStyle w:val="ListParagraph"/>
        <w:numPr>
          <w:ilvl w:val="0"/>
          <w:numId w:val="1"/>
        </w:numPr>
        <w:spacing w:after="90"/>
      </w:pPr>
      <w:r>
        <w:t xml:space="preserve">Carrier transit time, not order processing, drives total delivery time (r = 0.92). Efficiency initiatives should focus on carrier SLAs, hand-off speed, and network routing rather than warehouse pick/pack time.</w:t>
      </w:r>
    </w:p>
    <w:p>
      <w:pPr>
        <w:pStyle w:val="ListParagraph"/>
        <w:numPr>
          <w:ilvl w:val="0"/>
          <w:numId w:val="1"/>
        </w:numPr>
        <w:spacing w:after="90"/>
      </w:pPr>
      <w:r>
        <w:t xml:space="preserve">The November demand spike (Figure 3) coincides with the seasons most likely to produce delivery-tail outliers; pre-scaling carrier capacity ahead of known seasonal peaks would directly reduce the long tail seen in Figure 1.</w:t>
      </w:r>
    </w:p>
    <w:p>
      <w:pPr>
        <w:pStyle w:val="Heading2"/>
        <w:spacing w:after="150" w:before="300"/>
      </w:pPr>
      <w:r>
        <w:t xml:space="preserve">6.2 Cost drivers</w:t>
      </w:r>
    </w:p>
    <w:p>
      <w:pPr>
        <w:pStyle w:val="ListParagraph"/>
        <w:numPr>
          <w:ilvl w:val="0"/>
          <w:numId w:val="1"/>
        </w:numPr>
        <w:spacing w:after="90"/>
      </w:pPr>
      <w:r>
        <w:t xml:space="preserve">Freight cost is driven primarily by product weight (r = 0.61), with price a secondary factor (r = 0.41). Packaging optimization and dimensional-weight review are more likely to reduce shipping cost than pricing changes.</w:t>
      </w:r>
    </w:p>
    <w:p>
      <w:pPr>
        <w:pStyle w:val="ListParagraph"/>
        <w:numPr>
          <w:ilvl w:val="0"/>
          <w:numId w:val="1"/>
        </w:numPr>
        <w:spacing w:after="90"/>
      </w:pPr>
      <w:r>
        <w:t xml:space="preserve">Freight-outlier flags are rare (1.9%), suggesting freight pricing is largely consistent — worth spot-checking the outliers directly, but not indicative of a systemic billing problem.</w:t>
      </w:r>
    </w:p>
    <w:p>
      <w:pPr>
        <w:pStyle w:val="Heading2"/>
        <w:spacing w:after="150" w:before="300"/>
      </w:pPr>
      <w:r>
        <w:t xml:space="preserve">6.3 Bottlenecks</w:t>
      </w:r>
    </w:p>
    <w:p>
      <w:pPr>
        <w:pStyle w:val="ListParagraph"/>
        <w:numPr>
          <w:ilvl w:val="0"/>
          <w:numId w:val="1"/>
        </w:numPr>
        <w:spacing w:after="90"/>
      </w:pPr>
      <w:r>
        <w:t xml:space="preserve">Geography is the single largest bottleneck identified: cross-state shipments take nearly twice as long (15.0 vs. 7.9 days) and are 50% more likely to be late than same-state shipments.</w:t>
      </w:r>
    </w:p>
    <w:p>
      <w:pPr>
        <w:pStyle w:val="ListParagraph"/>
        <w:numPr>
          <w:ilvl w:val="0"/>
          <w:numId w:val="1"/>
        </w:numPr>
        <w:spacing w:after="90"/>
      </w:pPr>
      <w:r>
        <w:t xml:space="preserve">Bahia, Espírito Santo, Goiás, and Rio de Janeiro consistently underperform on both delivery speed and reliability — these states are the highest-priority targets for regional distribution investment.</w:t>
      </w:r>
    </w:p>
    <w:p>
      <w:pPr>
        <w:pStyle w:val="ListParagraph"/>
        <w:numPr>
          <w:ilvl w:val="0"/>
          <w:numId w:val="1"/>
        </w:numPr>
        <w:spacing w:after="90"/>
      </w:pPr>
      <w:r>
        <w:t xml:space="preserve">Office furniture and other bulky categories (Figure 4) face structurally longer delivery times, likely tied to specialized carrier handling and limited seller density for these goods.</w:t>
      </w:r>
    </w:p>
    <w:p>
      <w:pPr>
        <w:pStyle w:val="Heading2"/>
        <w:spacing w:after="150" w:before="300"/>
      </w:pPr>
      <w:r>
        <w:t xml:space="preserve">6.4 Recommendations</w:t>
      </w:r>
    </w:p>
    <w:p>
      <w:pPr>
        <w:pStyle w:val="ListParagraph"/>
        <w:numPr>
          <w:ilvl w:val="0"/>
          <w:numId w:val="1"/>
        </w:numPr>
        <w:spacing w:after="90"/>
      </w:pPr>
      <w:r>
        <w:t xml:space="preserve">Prioritize regional fulfillment or micro-warehousing in or near Bahia, Espírito Santo, and Goiás to convert a share of cross-state lanes into faster, cheaper same-state deliveries.</w:t>
      </w:r>
    </w:p>
    <w:p>
      <w:pPr>
        <w:pStyle w:val="ListParagraph"/>
        <w:numPr>
          <w:ilvl w:val="0"/>
          <w:numId w:val="1"/>
        </w:numPr>
        <w:spacing w:after="90"/>
      </w:pPr>
      <w:r>
        <w:t xml:space="preserve">Renegotiate or diversify carrier contracts specifically for the underperforming states, since transit time — not internal processing — is the primary lever on delivery speed.</w:t>
      </w:r>
    </w:p>
    <w:p>
      <w:pPr>
        <w:pStyle w:val="ListParagraph"/>
        <w:numPr>
          <w:ilvl w:val="0"/>
          <w:numId w:val="1"/>
        </w:numPr>
        <w:spacing w:after="90"/>
      </w:pPr>
      <w:r>
        <w:t xml:space="preserve">Build seasonal capacity buffers ahead of known peaks (e.g., November) to prevent the demand spike from widening the delivery-time tail.</w:t>
      </w:r>
    </w:p>
    <w:p>
      <w:pPr>
        <w:pStyle w:val="ListParagraph"/>
        <w:numPr>
          <w:ilvl w:val="0"/>
          <w:numId w:val="1"/>
        </w:numPr>
        <w:spacing w:after="90"/>
      </w:pPr>
      <w:r>
        <w:t xml:space="preserve">Review packaging and dimensional-weight practices for heavy/bulky categories such as office furniture and garden tools to reduce freight cost without sacrificing protection.</w:t>
      </w:r>
    </w:p>
    <w:p>
      <w:pPr>
        <w:pStyle w:val="ListParagraph"/>
        <w:numPr>
          <w:ilvl w:val="0"/>
          <w:numId w:val="1"/>
        </w:numPr>
        <w:spacing w:after="90"/>
      </w:pPr>
      <w:r>
        <w:t xml:space="preserve">Consider tightening estimated-delivery-date promises where consistent early delivery (median 12 days ahead of estimate) suggests room to set more competitive, still-reliable expectations at checkout.</w:t>
      </w:r>
    </w:p>
    <w:p>
      <w:pPr>
        <w:pStyle w:val="Heading1"/>
        <w:spacing w:after="200" w:before="400"/>
      </w:pPr>
      <w:r>
        <w:t xml:space="preserve">7. Conclusion</w:t>
      </w:r>
    </w:p>
    <w:p>
      <w:pPr>
        <w:spacing w:after="160" w:line="276"/>
      </w:pPr>
      <w:r>
        <w:rPr>
          <w:sz w:val="22"/>
          <w:szCs w:val="22"/>
        </w:rPr>
        <w:t xml:space="preserve">This analysis demonstrates how systematic exploratory analysis and purposeful visualization can convert a raw logistics dataset into concrete operational guidance. The data shows a fundamentally healthy delivery operation — 92% of orders arrive on or ahead of schedule — but with clear, addressable weak points: cross-state shipping lanes, a handful of underserved states, and bulky product categories. Because these bottlenecks are concentrated rather than diffuse, targeted investment (regional fulfillment, carrier renegotiation, seasonal capacity planning) is likely to produce outsized improvements in both delivery speed and cost relative to a broad, unfocused operational overhaul.</w:t>
      </w:r>
    </w:p>
    <w:p>
      <w:r>
        <w:br w:type="page"/>
      </w:r>
    </w:p>
    <w:p>
      <w:pPr>
        <w:pStyle w:val="Heading1"/>
        <w:spacing w:after="200" w:before="400"/>
      </w:pPr>
      <w:r>
        <w:t xml:space="preserve">Appendix A: Full Visualization Code</w:t>
      </w:r>
    </w:p>
    <w:p>
      <w:pPr>
        <w:spacing w:after="160" w:line="276"/>
      </w:pPr>
      <w:r>
        <w:rPr>
          <w:sz w:val="22"/>
          <w:szCs w:val="22"/>
        </w:rPr>
        <w:t xml:space="preserve">The complete Python script used to generate all ten figures in this report (matplotlib/seaborn, using the cleaned dataset).</w:t>
      </w:r>
    </w:p>
    <w:p>
      <w:pPr>
        <w:pBdr>
          <w:top w:val="single" w:color="D0D0D0" w:sz="4"/>
          <w:bottom w:val="single" w:color="D0D0D0" w:sz="4"/>
          <w:left w:val="single" w:color="D0D0D0" w:sz="4"/>
          <w:right w:val="single" w:color="D0D0D0" w:sz="4"/>
        </w:pBdr>
        <w:shd w:fill="F2F2F2" w:val="clear"/>
        <w:spacing w:after="240" w:before="120"/>
      </w:pPr>
      <w:r>
        <w:rPr>
          <w:rFonts w:ascii="Consolas" w:cs="Consolas" w:eastAsia="Consolas" w:hAnsi="Consolas"/>
          <w:color w:val="1B1B1B"/>
          <w:sz w:val="18"/>
          <w:szCs w:val="18"/>
        </w:rPr>
        <w:t xml:space="preserve">import pandas as pd, numpy as np</w:t>
      </w:r>
      <w:r>
        <w:br/>
      </w:r>
      <w:r>
        <w:rPr>
          <w:rFonts w:ascii="Consolas" w:cs="Consolas" w:eastAsia="Consolas" w:hAnsi="Consolas"/>
          <w:color w:val="1B1B1B"/>
          <w:sz w:val="18"/>
          <w:szCs w:val="18"/>
        </w:rPr>
        <w:t xml:space="preserve">import matplotlib; matplotlib.use('Agg')</w:t>
      </w:r>
      <w:r>
        <w:br/>
      </w:r>
      <w:r>
        <w:rPr>
          <w:rFonts w:ascii="Consolas" w:cs="Consolas" w:eastAsia="Consolas" w:hAnsi="Consolas"/>
          <w:color w:val="1B1B1B"/>
          <w:sz w:val="18"/>
          <w:szCs w:val="18"/>
        </w:rPr>
        <w:t xml:space="preserve">import matplotlib.pyplot as plt</w:t>
      </w:r>
      <w:r>
        <w:br/>
      </w:r>
      <w:r>
        <w:rPr>
          <w:rFonts w:ascii="Consolas" w:cs="Consolas" w:eastAsia="Consolas" w:hAnsi="Consolas"/>
          <w:color w:val="1B1B1B"/>
          <w:sz w:val="18"/>
          <w:szCs w:val="18"/>
        </w:rPr>
        <w:t xml:space="preserve">import seaborn as sns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sns.set_theme(style='whitegrid', context='notebook')</w:t>
      </w:r>
      <w:r>
        <w:br/>
      </w:r>
      <w:r>
        <w:rPr>
          <w:rFonts w:ascii="Consolas" w:cs="Consolas" w:eastAsia="Consolas" w:hAnsi="Consolas"/>
          <w:color w:val="1B1B1B"/>
          <w:sz w:val="18"/>
          <w:szCs w:val="18"/>
        </w:rPr>
        <w:t xml:space="preserve">PALETTE, ACCENT = '#2E5EAA', '#E8743B'</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 = pd.read_csv('logistics_clean.csv')</w:t>
      </w:r>
      <w:r>
        <w:br/>
      </w:r>
      <w:r>
        <w:rPr>
          <w:rFonts w:ascii="Consolas" w:cs="Consolas" w:eastAsia="Consolas" w:hAnsi="Consolas"/>
          <w:color w:val="1B1B1B"/>
          <w:sz w:val="18"/>
          <w:szCs w:val="18"/>
        </w:rPr>
        <w:t xml:space="preserve">df['order_purchase_timestamp'] = pd.to_datetime(df['order_purchase_timestamp'])</w:t>
      </w:r>
      <w:r>
        <w:br/>
      </w:r>
      <w:r>
        <w:rPr>
          <w:rFonts w:ascii="Consolas" w:cs="Consolas" w:eastAsia="Consolas" w:hAnsi="Consolas"/>
          <w:color w:val="1B1B1B"/>
          <w:sz w:val="18"/>
          <w:szCs w:val="18"/>
        </w:rPr>
        <w:t xml:space="preserve">df['purchase_month'] = df['order_purchase_timestamp'].dt.to_period('M').astype(str)</w:t>
      </w:r>
      <w:r>
        <w:br/>
      </w:r>
      <w:r>
        <w:rPr>
          <w:rFonts w:ascii="Consolas" w:cs="Consolas" w:eastAsia="Consolas" w:hAnsi="Consolas"/>
          <w:color w:val="1B1B1B"/>
          <w:sz w:val="18"/>
          <w:szCs w:val="18"/>
        </w:rPr>
        <w:t xml:space="preserve">delivered = df[df['is_delivered']==1].copy()</w:t>
      </w:r>
      <w:r>
        <w:br/>
      </w:r>
      <w:r>
        <w:rPr>
          <w:rFonts w:ascii="Consolas" w:cs="Consolas" w:eastAsia="Consolas" w:hAnsi="Consolas"/>
          <w:color w:val="1B1B1B"/>
          <w:sz w:val="18"/>
          <w:szCs w:val="18"/>
        </w:rPr>
        <w:t xml:space="preserve">delivered['is_late'] = delivered['delivery_delay_days'] &gt; 0</w:t>
      </w:r>
      <w:r>
        <w:br/>
      </w:r>
      <w:r>
        <w:rPr>
          <w:rFonts w:ascii="Consolas" w:cs="Consolas" w:eastAsia="Consolas" w:hAnsi="Consolas"/>
          <w:color w:val="1B1B1B"/>
          <w:sz w:val="18"/>
          <w:szCs w:val="18"/>
        </w:rPr>
        <w:t xml:space="preserve">delivered['same_state'] = delivered['customer_state'] == delivered['seller_state']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Fig 1: delivery-day distribution</w:t>
      </w:r>
      <w:r>
        <w:br/>
      </w:r>
      <w:r>
        <w:rPr>
          <w:rFonts w:ascii="Consolas" w:cs="Consolas" w:eastAsia="Consolas" w:hAnsi="Consolas"/>
          <w:color w:val="1B1B1B"/>
          <w:sz w:val="18"/>
          <w:szCs w:val="18"/>
        </w:rPr>
        <w:t xml:space="preserve">sns.histplot(delivered['delivery_days'].clip(upper=40), bins=40, kde=True, color=PALETTE)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Fig 3: monthly volume trend</w:t>
      </w:r>
      <w:r>
        <w:br/>
      </w:r>
      <w:r>
        <w:rPr>
          <w:rFonts w:ascii="Consolas" w:cs="Consolas" w:eastAsia="Consolas" w:hAnsi="Consolas"/>
          <w:color w:val="1B1B1B"/>
          <w:sz w:val="18"/>
          <w:szCs w:val="18"/>
        </w:rPr>
        <w:t xml:space="preserve">monthly = df.groupby('purchase_month').size()</w:t>
      </w:r>
      <w:r>
        <w:br/>
      </w:r>
      <w:r>
        <w:rPr>
          <w:rFonts w:ascii="Consolas" w:cs="Consolas" w:eastAsia="Consolas" w:hAnsi="Consolas"/>
          <w:color w:val="1B1B1B"/>
          <w:sz w:val="18"/>
          <w:szCs w:val="18"/>
        </w:rPr>
        <w:t xml:space="preserve">plt.plot(monthly.index, monthly.values, marker='o', color=PALETTE)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Fig 4: delivery time by category (top categories only)</w:t>
      </w:r>
      <w:r>
        <w:br/>
      </w:r>
      <w:r>
        <w:rPr>
          <w:rFonts w:ascii="Consolas" w:cs="Consolas" w:eastAsia="Consolas" w:hAnsi="Consolas"/>
          <w:color w:val="1B1B1B"/>
          <w:sz w:val="18"/>
          <w:szCs w:val="18"/>
        </w:rPr>
        <w:t xml:space="preserve">top_cats = delivered['product_category_name_english'].value_counts()</w:t>
      </w:r>
      <w:r>
        <w:br/>
      </w:r>
      <w:r>
        <w:rPr>
          <w:rFonts w:ascii="Consolas" w:cs="Consolas" w:eastAsia="Consolas" w:hAnsi="Consolas"/>
          <w:color w:val="1B1B1B"/>
          <w:sz w:val="18"/>
          <w:szCs w:val="18"/>
        </w:rPr>
        <w:t xml:space="preserve">top_cats = top_cats[top_cats &gt; 1500].index</w:t>
      </w:r>
      <w:r>
        <w:br/>
      </w:r>
      <w:r>
        <w:rPr>
          <w:rFonts w:ascii="Consolas" w:cs="Consolas" w:eastAsia="Consolas" w:hAnsi="Consolas"/>
          <w:color w:val="1B1B1B"/>
          <w:sz w:val="18"/>
          <w:szCs w:val="18"/>
        </w:rPr>
        <w:t xml:space="preserve">g = (delivered[delivered.product_category_name_english.isin(top_cats)]</w:t>
      </w:r>
      <w:r>
        <w:br/>
      </w:r>
      <w:r>
        <w:rPr>
          <w:rFonts w:ascii="Consolas" w:cs="Consolas" w:eastAsia="Consolas" w:hAnsi="Consolas"/>
          <w:color w:val="1B1B1B"/>
          <w:sz w:val="18"/>
          <w:szCs w:val="18"/>
        </w:rPr>
        <w:t xml:space="preserve">     .groupby('product_category_name_english')['delivery_days'].mean()</w:t>
      </w:r>
      <w:r>
        <w:br/>
      </w:r>
      <w:r>
        <w:rPr>
          <w:rFonts w:ascii="Consolas" w:cs="Consolas" w:eastAsia="Consolas" w:hAnsi="Consolas"/>
          <w:color w:val="1B1B1B"/>
          <w:sz w:val="18"/>
          <w:szCs w:val="18"/>
        </w:rPr>
        <w:t xml:space="preserve">     .sort_values(ascending=False))</w:t>
      </w:r>
      <w:r>
        <w:br/>
      </w:r>
      <w:r>
        <w:rPr>
          <w:rFonts w:ascii="Consolas" w:cs="Consolas" w:eastAsia="Consolas" w:hAnsi="Consolas"/>
          <w:color w:val="1B1B1B"/>
          <w:sz w:val="18"/>
          <w:szCs w:val="18"/>
        </w:rPr>
        <w:t xml:space="preserve">plt.barh(g.index, g.values, color=PALETTE)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Fig 6: correlation heatmap</w:t>
      </w:r>
      <w:r>
        <w:br/>
      </w:r>
      <w:r>
        <w:rPr>
          <w:rFonts w:ascii="Consolas" w:cs="Consolas" w:eastAsia="Consolas" w:hAnsi="Consolas"/>
          <w:color w:val="1B1B1B"/>
          <w:sz w:val="18"/>
          <w:szCs w:val="18"/>
        </w:rPr>
        <w:t xml:space="preserve">cols = ['price','freight_value','delivery_days','delivery_delay_days',</w:t>
      </w:r>
      <w:r>
        <w:br/>
      </w:r>
      <w:r>
        <w:rPr>
          <w:rFonts w:ascii="Consolas" w:cs="Consolas" w:eastAsia="Consolas" w:hAnsi="Consolas"/>
          <w:color w:val="1B1B1B"/>
          <w:sz w:val="18"/>
          <w:szCs w:val="18"/>
        </w:rPr>
        <w:t xml:space="preserve">        'carrier_transit_days','product_weight_g']</w:t>
      </w:r>
      <w:r>
        <w:br/>
      </w:r>
      <w:r>
        <w:rPr>
          <w:rFonts w:ascii="Consolas" w:cs="Consolas" w:eastAsia="Consolas" w:hAnsi="Consolas"/>
          <w:color w:val="1B1B1B"/>
          <w:sz w:val="18"/>
          <w:szCs w:val="18"/>
        </w:rPr>
        <w:t xml:space="preserve">sns.heatmap(delivered[cols].corr(), annot=True, cmap='RdBu_r', center=0)</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Fig 9: same-state vs cross-state comparison</w:t>
      </w:r>
      <w:r>
        <w:br/>
      </w:r>
      <w:r>
        <w:rPr>
          <w:rFonts w:ascii="Consolas" w:cs="Consolas" w:eastAsia="Consolas" w:hAnsi="Consolas"/>
          <w:color w:val="1B1B1B"/>
          <w:sz w:val="18"/>
          <w:szCs w:val="18"/>
        </w:rPr>
        <w:t xml:space="preserve">comp = delivered.groupby('same_state').agg(</w:t>
      </w:r>
      <w:r>
        <w:br/>
      </w:r>
      <w:r>
        <w:rPr>
          <w:rFonts w:ascii="Consolas" w:cs="Consolas" w:eastAsia="Consolas" w:hAnsi="Consolas"/>
          <w:color w:val="1B1B1B"/>
          <w:sz w:val="18"/>
          <w:szCs w:val="18"/>
        </w:rPr>
        <w:t xml:space="preserve">    avg_delivery=('delivery_days','mean'),</w:t>
      </w:r>
      <w:r>
        <w:br/>
      </w:r>
      <w:r>
        <w:rPr>
          <w:rFonts w:ascii="Consolas" w:cs="Consolas" w:eastAsia="Consolas" w:hAnsi="Consolas"/>
          <w:color w:val="1B1B1B"/>
          <w:sz w:val="18"/>
          <w:szCs w:val="18"/>
        </w:rPr>
        <w:t xml:space="preserve">    late_rate=('is_late', lambda x: x.mean()*100))</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 (see full report figures for remaining charts; pattern is consistent:</w:t>
      </w:r>
      <w:r>
        <w:br/>
      </w:r>
      <w:r>
        <w:rPr>
          <w:rFonts w:ascii="Consolas" w:cs="Consolas" w:eastAsia="Consolas" w:hAnsi="Consolas"/>
          <w:color w:val="1B1B1B"/>
          <w:sz w:val="18"/>
          <w:szCs w:val="18"/>
        </w:rPr>
        <w:t xml:space="preserve">#      seaborn/matplotlib plot -&gt; titled, labeled, saved at 150dpi)</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Logistics Data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AA" w:sz="6" w:space="4"/>
      </w:pBdr>
      <w:spacing w:after="180" w:before="360"/>
    </w:pPr>
    <w:rPr>
      <w:rFonts w:ascii="Calibri" w:cs="Calibri" w:eastAsia="Calibri" w:hAnsi="Calibri"/>
      <w:b/>
      <w:bCs/>
      <w:color w:val="1F3B57"/>
      <w:sz w:val="32"/>
      <w:szCs w:val="32"/>
    </w:rPr>
  </w:style>
  <w:style w:type="paragraph" w:styleId="Heading2">
    <w:name w:val="Heading 2"/>
    <w:basedOn w:val="Normal"/>
    <w:next w:val="Normal"/>
    <w:qFormat/>
    <w:pPr>
      <w:spacing w:after="140" w:before="280"/>
    </w:pPr>
    <w:rPr>
      <w:rFonts w:ascii="Calibri" w:cs="Calibri" w:eastAsia="Calibri" w:hAnsi="Calibri"/>
      <w:b/>
      <w:bCs/>
      <w:color w:val="2E5EAA"/>
      <w:sz w:val="26"/>
      <w:szCs w:val="26"/>
    </w:rPr>
  </w:style>
  <w:style w:type="paragraph" w:styleId="Heading3">
    <w:name w:val="Heading 3"/>
    <w:basedOn w:val="Normal"/>
    <w:next w:val="Normal"/>
    <w:qFormat/>
    <w:pPr>
      <w:spacing w:after="100" w:before="200"/>
    </w:pPr>
    <w:rPr>
      <w:rFonts w:ascii="Calibri" w:cs="Calibri" w:eastAsia="Calibri" w:hAnsi="Calibri"/>
      <w:b/>
      <w:bCs/>
      <w:color w:val="C056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fd9fd87c7e75fafe5e3669674b72fc1fc7f68a.png"/><Relationship Id="rId10" Type="http://schemas.openxmlformats.org/officeDocument/2006/relationships/image" Target="media/615f4b9ca016d83a580b75eabd1fb73d21a439ae.png"/><Relationship Id="rId11" Type="http://schemas.openxmlformats.org/officeDocument/2006/relationships/image" Target="media/178dcb3a7aac4c1842ddb7c6f860b1fa6f3fe613.png"/><Relationship Id="rId12" Type="http://schemas.openxmlformats.org/officeDocument/2006/relationships/image" Target="media/c8e0d37fc86fe6abe7e62aa6668e4ab35ea63369.png"/><Relationship Id="rId13" Type="http://schemas.openxmlformats.org/officeDocument/2006/relationships/image" Target="media/ed9cd6cab1ee97cb051222ee8887d70027945f29.png"/><Relationship Id="rId14" Type="http://schemas.openxmlformats.org/officeDocument/2006/relationships/image" Target="media/9e9e0bf7fae4bf19b2dc9e369b54737d33877e7d.png"/><Relationship Id="rId15" Type="http://schemas.openxmlformats.org/officeDocument/2006/relationships/image" Target="media/b591a464527a2d9d0e68b000a97b0ee2c14d9e03.png"/><Relationship Id="rId16" Type="http://schemas.openxmlformats.org/officeDocument/2006/relationships/image" Target="media/f708ffc9d269e49a1e0a87f684c65c10801fe313.png"/><Relationship Id="rId17" Type="http://schemas.openxmlformats.org/officeDocument/2006/relationships/image" Target="media/b5e97880915abe5155f604f7dc0d823064daaf9c.png"/><Relationship Id="rId18" Type="http://schemas.openxmlformats.org/officeDocument/2006/relationships/image" Target="media/50bb993c2f9adc44f60709c334f1ee23207506d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2026-08-28T11:26:52.219Z</dcterms:created>
  <dcterms:modified xsi:type="dcterms:W3CDTF">2026-08-28T11:26:52.230Z</dcterms:modified>
</cp:coreProperties>
</file>

<file path=docProps/custom.xml><?xml version="1.0" encoding="utf-8"?>
<Properties xmlns="http://schemas.openxmlformats.org/officeDocument/2006/custom-properties" xmlns:vt="http://schemas.openxmlformats.org/officeDocument/2006/docPropsVTypes"/>
</file>