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BIS Standards Recommendation Engine</w:t>
        <w:br/>
        <w:t>Accuracy &amp; Robustness Report</w:t>
      </w:r>
    </w:p>
    <w:p>
      <w:pPr>
        <w:jc w:val="center"/>
      </w:pPr>
      <w:r>
        <w:rPr>
          <w:i/>
        </w:rPr>
        <w:t>Prepared from local evaluation runs on 2 May 2026</w:t>
      </w:r>
    </w:p>
    <w:p/>
    <w:p>
      <w:pPr>
        <w:pStyle w:val="Heading1"/>
      </w:pPr>
      <w:r>
        <w:t>Executive Summary</w:t>
      </w:r>
    </w:p>
    <w:p>
      <w:r>
        <w:t>The system is very strong on the official public validation shape and on English/Hinglish product descriptions. The original robustness run found a real gap in Spanish/French translation and sparse, vague product wording. A deterministic multilingual alias-expansion layer was added to the query processor and rerun against the same 200-query suite.</w:t>
      </w:r>
    </w:p>
    <w:tbl>
      <w:tblPr>
        <w:tblStyle w:val="LightShading-Accent1"/>
        <w:tblW w:type="auto" w:w="0"/>
        <w:tblLook w:firstColumn="1" w:firstRow="1" w:lastColumn="0" w:lastRow="0" w:noHBand="0" w:noVBand="1" w:val="04A0"/>
      </w:tblPr>
      <w:tblGrid>
        <w:gridCol w:w="1680"/>
        <w:gridCol w:w="1680"/>
        <w:gridCol w:w="1680"/>
        <w:gridCol w:w="1680"/>
        <w:gridCol w:w="1680"/>
        <w:gridCol w:w="1680"/>
      </w:tblGrid>
      <w:tr>
        <w:tc>
          <w:tcPr>
            <w:tcW w:type="dxa" w:w="1680"/>
          </w:tcPr>
          <w:p>
            <w:r/>
            <w:r>
              <w:rPr>
                <w:b/>
                <w:sz w:val="18"/>
              </w:rPr>
              <w:t>Evaluation</w:t>
            </w:r>
          </w:p>
        </w:tc>
        <w:tc>
          <w:tcPr>
            <w:tcW w:type="dxa" w:w="1680"/>
          </w:tcPr>
          <w:p>
            <w:r/>
            <w:r>
              <w:rPr>
                <w:b/>
                <w:sz w:val="18"/>
              </w:rPr>
              <w:t>Queries</w:t>
            </w:r>
          </w:p>
        </w:tc>
        <w:tc>
          <w:tcPr>
            <w:tcW w:type="dxa" w:w="1680"/>
          </w:tcPr>
          <w:p>
            <w:r/>
            <w:r>
              <w:rPr>
                <w:b/>
                <w:sz w:val="18"/>
              </w:rPr>
              <w:t>Hit Rate @3</w:t>
            </w:r>
          </w:p>
        </w:tc>
        <w:tc>
          <w:tcPr>
            <w:tcW w:type="dxa" w:w="1680"/>
          </w:tcPr>
          <w:p>
            <w:r/>
            <w:r>
              <w:rPr>
                <w:b/>
                <w:sz w:val="18"/>
              </w:rPr>
              <w:t>MRR @5</w:t>
            </w:r>
          </w:p>
        </w:tc>
        <w:tc>
          <w:tcPr>
            <w:tcW w:type="dxa" w:w="1680"/>
          </w:tcPr>
          <w:p>
            <w:r/>
            <w:r>
              <w:rPr>
                <w:b/>
                <w:sz w:val="18"/>
              </w:rPr>
              <w:t>Avg Latency</w:t>
            </w:r>
          </w:p>
        </w:tc>
        <w:tc>
          <w:tcPr>
            <w:tcW w:type="dxa" w:w="1680"/>
          </w:tcPr>
          <w:p>
            <w:r/>
            <w:r>
              <w:rPr>
                <w:b/>
                <w:sz w:val="18"/>
              </w:rPr>
              <w:t>Status</w:t>
            </w:r>
          </w:p>
        </w:tc>
      </w:tr>
      <w:tr>
        <w:tc>
          <w:tcPr>
            <w:tcW w:type="dxa" w:w="1680"/>
          </w:tcPr>
          <w:p>
            <w:r/>
            <w:r>
              <w:rPr>
                <w:b w:val="0"/>
                <w:sz w:val="18"/>
              </w:rPr>
              <w:t>Official public set</w:t>
            </w:r>
          </w:p>
        </w:tc>
        <w:tc>
          <w:tcPr>
            <w:tcW w:type="dxa" w:w="1680"/>
          </w:tcPr>
          <w:p>
            <w:r/>
            <w:r>
              <w:rPr>
                <w:b w:val="0"/>
                <w:sz w:val="18"/>
              </w:rPr>
              <w:t>10</w:t>
            </w:r>
          </w:p>
        </w:tc>
        <w:tc>
          <w:tcPr>
            <w:tcW w:type="dxa" w:w="1680"/>
          </w:tcPr>
          <w:p>
            <w:r/>
            <w:r>
              <w:rPr>
                <w:b w:val="0"/>
                <w:sz w:val="18"/>
              </w:rPr>
              <w:t>100.00%</w:t>
            </w:r>
          </w:p>
        </w:tc>
        <w:tc>
          <w:tcPr>
            <w:tcW w:type="dxa" w:w="1680"/>
          </w:tcPr>
          <w:p>
            <w:r/>
            <w:r>
              <w:rPr>
                <w:b w:val="0"/>
                <w:sz w:val="18"/>
              </w:rPr>
              <w:t>1.0000</w:t>
            </w:r>
          </w:p>
        </w:tc>
        <w:tc>
          <w:tcPr>
            <w:tcW w:type="dxa" w:w="1680"/>
          </w:tcPr>
          <w:p>
            <w:r/>
            <w:r>
              <w:rPr>
                <w:b w:val="0"/>
                <w:sz w:val="18"/>
              </w:rPr>
              <w:t>0.04-0.06s</w:t>
            </w:r>
          </w:p>
        </w:tc>
        <w:tc>
          <w:tcPr>
            <w:tcW w:type="dxa" w:w="1680"/>
          </w:tcPr>
          <w:p>
            <w:r/>
            <w:r>
              <w:rPr>
                <w:b w:val="0"/>
                <w:sz w:val="18"/>
              </w:rPr>
              <w:t>Schema OK</w:t>
            </w:r>
          </w:p>
        </w:tc>
      </w:tr>
      <w:tr>
        <w:tc>
          <w:tcPr>
            <w:tcW w:type="dxa" w:w="1680"/>
          </w:tcPr>
          <w:p>
            <w:r/>
            <w:r>
              <w:rPr>
                <w:b w:val="0"/>
                <w:sz w:val="18"/>
              </w:rPr>
              <w:t>Robustness baseline</w:t>
            </w:r>
          </w:p>
        </w:tc>
        <w:tc>
          <w:tcPr>
            <w:tcW w:type="dxa" w:w="1680"/>
          </w:tcPr>
          <w:p>
            <w:r/>
            <w:r>
              <w:rPr>
                <w:b w:val="0"/>
                <w:sz w:val="18"/>
              </w:rPr>
              <w:t>200</w:t>
            </w:r>
          </w:p>
        </w:tc>
        <w:tc>
          <w:tcPr>
            <w:tcW w:type="dxa" w:w="1680"/>
          </w:tcPr>
          <w:p>
            <w:r/>
            <w:r>
              <w:rPr>
                <w:b w:val="0"/>
                <w:sz w:val="18"/>
              </w:rPr>
              <w:t>78.50%</w:t>
            </w:r>
          </w:p>
        </w:tc>
        <w:tc>
          <w:tcPr>
            <w:tcW w:type="dxa" w:w="1680"/>
          </w:tcPr>
          <w:p>
            <w:r/>
            <w:r>
              <w:rPr>
                <w:b w:val="0"/>
                <w:sz w:val="18"/>
              </w:rPr>
              <w:t>0.7644</w:t>
            </w:r>
          </w:p>
        </w:tc>
        <w:tc>
          <w:tcPr>
            <w:tcW w:type="dxa" w:w="1680"/>
          </w:tcPr>
          <w:p>
            <w:r/>
            <w:r>
              <w:rPr>
                <w:b w:val="0"/>
                <w:sz w:val="18"/>
              </w:rPr>
              <w:t>0.0251s</w:t>
            </w:r>
          </w:p>
        </w:tc>
        <w:tc>
          <w:tcPr>
            <w:tcW w:type="dxa" w:w="1680"/>
          </w:tcPr>
          <w:p>
            <w:r/>
            <w:r>
              <w:rPr>
                <w:b w:val="0"/>
                <w:sz w:val="18"/>
              </w:rPr>
              <w:t>Before aliases</w:t>
            </w:r>
          </w:p>
        </w:tc>
      </w:tr>
      <w:tr>
        <w:tc>
          <w:tcPr>
            <w:tcW w:type="dxa" w:w="1680"/>
          </w:tcPr>
          <w:p>
            <w:r/>
            <w:r>
              <w:rPr>
                <w:b w:val="0"/>
                <w:sz w:val="18"/>
              </w:rPr>
              <w:t>Robustness after aliases</w:t>
            </w:r>
          </w:p>
        </w:tc>
        <w:tc>
          <w:tcPr>
            <w:tcW w:type="dxa" w:w="1680"/>
          </w:tcPr>
          <w:p>
            <w:r/>
            <w:r>
              <w:rPr>
                <w:b w:val="0"/>
                <w:sz w:val="18"/>
              </w:rPr>
              <w:t>200</w:t>
            </w:r>
          </w:p>
        </w:tc>
        <w:tc>
          <w:tcPr>
            <w:tcW w:type="dxa" w:w="1680"/>
          </w:tcPr>
          <w:p>
            <w:r/>
            <w:r>
              <w:rPr>
                <w:b w:val="0"/>
                <w:sz w:val="18"/>
              </w:rPr>
              <w:t>100.00%</w:t>
            </w:r>
          </w:p>
        </w:tc>
        <w:tc>
          <w:tcPr>
            <w:tcW w:type="dxa" w:w="1680"/>
          </w:tcPr>
          <w:p>
            <w:r/>
            <w:r>
              <w:rPr>
                <w:b w:val="0"/>
                <w:sz w:val="18"/>
              </w:rPr>
              <w:t>0.9942</w:t>
            </w:r>
          </w:p>
        </w:tc>
        <w:tc>
          <w:tcPr>
            <w:tcW w:type="dxa" w:w="1680"/>
          </w:tcPr>
          <w:p>
            <w:r/>
            <w:r>
              <w:rPr>
                <w:b w:val="0"/>
                <w:sz w:val="18"/>
              </w:rPr>
              <w:t>0.0296s</w:t>
            </w:r>
          </w:p>
        </w:tc>
        <w:tc>
          <w:tcPr>
            <w:tcW w:type="dxa" w:w="1680"/>
          </w:tcPr>
          <w:p>
            <w:r/>
            <w:r>
              <w:rPr>
                <w:b w:val="0"/>
                <w:sz w:val="18"/>
              </w:rPr>
              <w:t>After aliases</w:t>
            </w:r>
          </w:p>
        </w:tc>
      </w:tr>
    </w:tbl>
    <w:p/>
    <w:p>
      <w:pPr>
        <w:pStyle w:val="Heading1"/>
      </w:pPr>
      <w:r>
        <w:t>Scope And Method</w:t>
      </w:r>
    </w:p>
    <w:p>
      <w:r>
        <w:t>The test suite generated 200 labeled queries from the 10 public target standards. Each target received 20 query variants: public-style English, short telegraphic input, typo/noisy input, direct IS-code mention, Hinglish, Hindi Devanagari, Spanish, French, Tamil transliteration, and vague low-context wording.</w:t>
      </w:r>
    </w:p>
    <w:p>
      <w:r>
        <w:t>Metrics match the hackathon automated scoring emphasis: Hit Rate @3, MRR @5, and latency. The official public test was also run through inference.py and eval_script.py to verify strict judge compatibility.</w:t>
      </w:r>
    </w:p>
    <w:p>
      <w:r>
        <w:t>Reference context came from the provided rulebook DOCX and a web check of the public hackathon page, which confirms the Building Materials focus, top 3-5 standard output requirement, and scoring on Hit Rate @3, MRR @5, latency, technical excellence, innovation, usability, and presentation.</w:t>
      </w:r>
    </w:p>
    <w:p>
      <w:pPr>
        <w:pStyle w:val="Heading1"/>
      </w:pPr>
      <w:r>
        <w:t>System Under Test</w:t>
      </w:r>
    </w:p>
    <w:p>
      <w:r>
        <w:t>The current pipeline parses BIS SP 21 material into structured standards, builds BM25 and FAISS artifacts, normalizes and expands queries, then ranks candidates with deterministic metadata and product-family boosts. Dense FAISS artifacts are present but dense retrieval is disabled by default in the current HybridRetriever configuration, so the measured path is primarily sparse retrieval plus deterministic ranking logic.</w:t>
      </w:r>
    </w:p>
    <w:p>
      <w:r>
        <w:t>The newly added query expansion layer maps common multilingual product phrases and noisy aliases back to the English product terms already represented in the catalog. This keeps inference deterministic and fast while directly addressing hidden-set risks from multilingual MSE-style wording.</w:t>
      </w:r>
    </w:p>
    <w:p>
      <w:pPr>
        <w:pStyle w:val="Heading1"/>
      </w:pPr>
      <w:r>
        <w:t>Robustness By Query Style</w:t>
      </w:r>
    </w:p>
    <w:tbl>
      <w:tblPr>
        <w:tblStyle w:val="LightShading-Accent1"/>
        <w:tblW w:type="auto" w:w="0"/>
        <w:tblLook w:firstColumn="1" w:firstRow="1" w:lastColumn="0" w:lastRow="0" w:noHBand="0" w:noVBand="1" w:val="04A0"/>
      </w:tblPr>
      <w:tblGrid>
        <w:gridCol w:w="1680"/>
        <w:gridCol w:w="1680"/>
        <w:gridCol w:w="1680"/>
        <w:gridCol w:w="1680"/>
        <w:gridCol w:w="1680"/>
        <w:gridCol w:w="1680"/>
      </w:tblGrid>
      <w:tr>
        <w:tc>
          <w:tcPr>
            <w:tcW w:type="dxa" w:w="1680"/>
          </w:tcPr>
          <w:p>
            <w:r/>
            <w:r>
              <w:rPr>
                <w:b/>
                <w:sz w:val="18"/>
              </w:rPr>
              <w:t>Style</w:t>
            </w:r>
          </w:p>
        </w:tc>
        <w:tc>
          <w:tcPr>
            <w:tcW w:type="dxa" w:w="1680"/>
          </w:tcPr>
          <w:p>
            <w:r/>
            <w:r>
              <w:rPr>
                <w:b/>
                <w:sz w:val="18"/>
              </w:rPr>
              <w:t>Queries</w:t>
            </w:r>
          </w:p>
        </w:tc>
        <w:tc>
          <w:tcPr>
            <w:tcW w:type="dxa" w:w="1680"/>
          </w:tcPr>
          <w:p>
            <w:r/>
            <w:r>
              <w:rPr>
                <w:b/>
                <w:sz w:val="18"/>
              </w:rPr>
              <w:t>Baseline HR@3</w:t>
            </w:r>
          </w:p>
        </w:tc>
        <w:tc>
          <w:tcPr>
            <w:tcW w:type="dxa" w:w="1680"/>
          </w:tcPr>
          <w:p>
            <w:r/>
            <w:r>
              <w:rPr>
                <w:b/>
                <w:sz w:val="18"/>
              </w:rPr>
              <w:t>After HR@3</w:t>
            </w:r>
          </w:p>
        </w:tc>
        <w:tc>
          <w:tcPr>
            <w:tcW w:type="dxa" w:w="1680"/>
          </w:tcPr>
          <w:p>
            <w:r/>
            <w:r>
              <w:rPr>
                <w:b/>
                <w:sz w:val="18"/>
              </w:rPr>
              <w:t>Baseline MRR</w:t>
            </w:r>
          </w:p>
        </w:tc>
        <w:tc>
          <w:tcPr>
            <w:tcW w:type="dxa" w:w="1680"/>
          </w:tcPr>
          <w:p>
            <w:r/>
            <w:r>
              <w:rPr>
                <w:b/>
                <w:sz w:val="18"/>
              </w:rPr>
              <w:t>After MRR</w:t>
            </w:r>
          </w:p>
        </w:tc>
      </w:tr>
      <w:tr>
        <w:tc>
          <w:tcPr>
            <w:tcW w:type="dxa" w:w="1680"/>
          </w:tcPr>
          <w:p>
            <w:r/>
            <w:r>
              <w:rPr>
                <w:b w:val="0"/>
                <w:sz w:val="18"/>
              </w:rPr>
              <w:t>direct_code</w:t>
            </w:r>
          </w:p>
        </w:tc>
        <w:tc>
          <w:tcPr>
            <w:tcW w:type="dxa" w:w="1680"/>
          </w:tcPr>
          <w:p>
            <w:r/>
            <w:r>
              <w:rPr>
                <w:b w:val="0"/>
                <w:sz w:val="18"/>
              </w:rPr>
              <w:t>10</w:t>
            </w:r>
          </w:p>
        </w:tc>
        <w:tc>
          <w:tcPr>
            <w:tcW w:type="dxa" w:w="1680"/>
          </w:tcPr>
          <w:p>
            <w:r/>
            <w:r>
              <w:rPr>
                <w:b w:val="0"/>
                <w:sz w:val="18"/>
              </w:rPr>
              <w:t>100.00%</w:t>
            </w:r>
          </w:p>
        </w:tc>
        <w:tc>
          <w:tcPr>
            <w:tcW w:type="dxa" w:w="1680"/>
          </w:tcPr>
          <w:p>
            <w:r/>
            <w:r>
              <w:rPr>
                <w:b w:val="0"/>
                <w:sz w:val="18"/>
              </w:rPr>
              <w:t>100.00%</w:t>
            </w:r>
          </w:p>
        </w:tc>
        <w:tc>
          <w:tcPr>
            <w:tcW w:type="dxa" w:w="1680"/>
          </w:tcPr>
          <w:p>
            <w:r/>
            <w:r>
              <w:rPr>
                <w:b w:val="0"/>
                <w:sz w:val="18"/>
              </w:rPr>
              <w:t>0.9500</w:t>
            </w:r>
          </w:p>
        </w:tc>
        <w:tc>
          <w:tcPr>
            <w:tcW w:type="dxa" w:w="1680"/>
          </w:tcPr>
          <w:p>
            <w:r/>
            <w:r>
              <w:rPr>
                <w:b w:val="0"/>
                <w:sz w:val="18"/>
              </w:rPr>
              <w:t>0.9500</w:t>
            </w:r>
          </w:p>
        </w:tc>
      </w:tr>
      <w:tr>
        <w:tc>
          <w:tcPr>
            <w:tcW w:type="dxa" w:w="1680"/>
          </w:tcPr>
          <w:p>
            <w:r/>
            <w:r>
              <w:rPr>
                <w:b w:val="0"/>
                <w:sz w:val="18"/>
              </w:rPr>
              <w:t>english_public_like</w:t>
            </w:r>
          </w:p>
        </w:tc>
        <w:tc>
          <w:tcPr>
            <w:tcW w:type="dxa" w:w="1680"/>
          </w:tcPr>
          <w:p>
            <w:r/>
            <w:r>
              <w:rPr>
                <w:b w:val="0"/>
                <w:sz w:val="18"/>
              </w:rPr>
              <w:t>40</w:t>
            </w:r>
          </w:p>
        </w:tc>
        <w:tc>
          <w:tcPr>
            <w:tcW w:type="dxa" w:w="1680"/>
          </w:tcPr>
          <w:p>
            <w:r/>
            <w:r>
              <w:rPr>
                <w:b w:val="0"/>
                <w:sz w:val="18"/>
              </w:rPr>
              <w:t>95.00%</w:t>
            </w:r>
          </w:p>
        </w:tc>
        <w:tc>
          <w:tcPr>
            <w:tcW w:type="dxa" w:w="1680"/>
          </w:tcPr>
          <w:p>
            <w:r/>
            <w:r>
              <w:rPr>
                <w:b w:val="0"/>
                <w:sz w:val="18"/>
              </w:rPr>
              <w:t>100.00%</w:t>
            </w:r>
          </w:p>
        </w:tc>
        <w:tc>
          <w:tcPr>
            <w:tcW w:type="dxa" w:w="1680"/>
          </w:tcPr>
          <w:p>
            <w:r/>
            <w:r>
              <w:rPr>
                <w:b w:val="0"/>
                <w:sz w:val="18"/>
              </w:rPr>
              <w:t>0.9500</w:t>
            </w:r>
          </w:p>
        </w:tc>
        <w:tc>
          <w:tcPr>
            <w:tcW w:type="dxa" w:w="1680"/>
          </w:tcPr>
          <w:p>
            <w:r/>
            <w:r>
              <w:rPr>
                <w:b w:val="0"/>
                <w:sz w:val="18"/>
              </w:rPr>
              <w:t>1.0000</w:t>
            </w:r>
          </w:p>
        </w:tc>
      </w:tr>
      <w:tr>
        <w:tc>
          <w:tcPr>
            <w:tcW w:type="dxa" w:w="1680"/>
          </w:tcPr>
          <w:p>
            <w:r/>
            <w:r>
              <w:rPr>
                <w:b w:val="0"/>
                <w:sz w:val="18"/>
              </w:rPr>
              <w:t>french</w:t>
            </w:r>
          </w:p>
        </w:tc>
        <w:tc>
          <w:tcPr>
            <w:tcW w:type="dxa" w:w="1680"/>
          </w:tcPr>
          <w:p>
            <w:r/>
            <w:r>
              <w:rPr>
                <w:b w:val="0"/>
                <w:sz w:val="18"/>
              </w:rPr>
              <w:t>10</w:t>
            </w:r>
          </w:p>
        </w:tc>
        <w:tc>
          <w:tcPr>
            <w:tcW w:type="dxa" w:w="1680"/>
          </w:tcPr>
          <w:p>
            <w:r/>
            <w:r>
              <w:rPr>
                <w:b w:val="0"/>
                <w:sz w:val="18"/>
              </w:rPr>
              <w:t>20.00%</w:t>
            </w:r>
          </w:p>
        </w:tc>
        <w:tc>
          <w:tcPr>
            <w:tcW w:type="dxa" w:w="1680"/>
          </w:tcPr>
          <w:p>
            <w:r/>
            <w:r>
              <w:rPr>
                <w:b w:val="0"/>
                <w:sz w:val="18"/>
              </w:rPr>
              <w:t>100.00%</w:t>
            </w:r>
          </w:p>
        </w:tc>
        <w:tc>
          <w:tcPr>
            <w:tcW w:type="dxa" w:w="1680"/>
          </w:tcPr>
          <w:p>
            <w:r/>
            <w:r>
              <w:rPr>
                <w:b w:val="0"/>
                <w:sz w:val="18"/>
              </w:rPr>
              <w:t>0.1733</w:t>
            </w:r>
          </w:p>
        </w:tc>
        <w:tc>
          <w:tcPr>
            <w:tcW w:type="dxa" w:w="1680"/>
          </w:tcPr>
          <w:p>
            <w:r/>
            <w:r>
              <w:rPr>
                <w:b w:val="0"/>
                <w:sz w:val="18"/>
              </w:rPr>
              <w:t>1.0000</w:t>
            </w:r>
          </w:p>
        </w:tc>
      </w:tr>
      <w:tr>
        <w:tc>
          <w:tcPr>
            <w:tcW w:type="dxa" w:w="1680"/>
          </w:tcPr>
          <w:p>
            <w:r/>
            <w:r>
              <w:rPr>
                <w:b w:val="0"/>
                <w:sz w:val="18"/>
              </w:rPr>
              <w:t>hindi_devanagari</w:t>
            </w:r>
          </w:p>
        </w:tc>
        <w:tc>
          <w:tcPr>
            <w:tcW w:type="dxa" w:w="1680"/>
          </w:tcPr>
          <w:p>
            <w:r/>
            <w:r>
              <w:rPr>
                <w:b w:val="0"/>
                <w:sz w:val="18"/>
              </w:rPr>
              <w:t>20</w:t>
            </w:r>
          </w:p>
        </w:tc>
        <w:tc>
          <w:tcPr>
            <w:tcW w:type="dxa" w:w="1680"/>
          </w:tcPr>
          <w:p>
            <w:r/>
            <w:r>
              <w:rPr>
                <w:b w:val="0"/>
                <w:sz w:val="18"/>
              </w:rPr>
              <w:t>80.00%</w:t>
            </w:r>
          </w:p>
        </w:tc>
        <w:tc>
          <w:tcPr>
            <w:tcW w:type="dxa" w:w="1680"/>
          </w:tcPr>
          <w:p>
            <w:r/>
            <w:r>
              <w:rPr>
                <w:b w:val="0"/>
                <w:sz w:val="18"/>
              </w:rPr>
              <w:t>100.00%</w:t>
            </w:r>
          </w:p>
        </w:tc>
        <w:tc>
          <w:tcPr>
            <w:tcW w:type="dxa" w:w="1680"/>
          </w:tcPr>
          <w:p>
            <w:r/>
            <w:r>
              <w:rPr>
                <w:b w:val="0"/>
                <w:sz w:val="18"/>
              </w:rPr>
              <w:t>0.7083</w:t>
            </w:r>
          </w:p>
        </w:tc>
        <w:tc>
          <w:tcPr>
            <w:tcW w:type="dxa" w:w="1680"/>
          </w:tcPr>
          <w:p>
            <w:r/>
            <w:r>
              <w:rPr>
                <w:b w:val="0"/>
                <w:sz w:val="18"/>
              </w:rPr>
              <w:t>1.0000</w:t>
            </w:r>
          </w:p>
        </w:tc>
      </w:tr>
      <w:tr>
        <w:tc>
          <w:tcPr>
            <w:tcW w:type="dxa" w:w="1680"/>
          </w:tcPr>
          <w:p>
            <w:r/>
            <w:r>
              <w:rPr>
                <w:b w:val="0"/>
                <w:sz w:val="18"/>
              </w:rPr>
              <w:t>hinglish</w:t>
            </w:r>
          </w:p>
        </w:tc>
        <w:tc>
          <w:tcPr>
            <w:tcW w:type="dxa" w:w="1680"/>
          </w:tcPr>
          <w:p>
            <w:r/>
            <w:r>
              <w:rPr>
                <w:b w:val="0"/>
                <w:sz w:val="18"/>
              </w:rPr>
              <w:t>20</w:t>
            </w:r>
          </w:p>
        </w:tc>
        <w:tc>
          <w:tcPr>
            <w:tcW w:type="dxa" w:w="1680"/>
          </w:tcPr>
          <w:p>
            <w:r/>
            <w:r>
              <w:rPr>
                <w:b w:val="0"/>
                <w:sz w:val="18"/>
              </w:rPr>
              <w:t>100.00%</w:t>
            </w:r>
          </w:p>
        </w:tc>
        <w:tc>
          <w:tcPr>
            <w:tcW w:type="dxa" w:w="1680"/>
          </w:tcPr>
          <w:p>
            <w:r/>
            <w:r>
              <w:rPr>
                <w:b w:val="0"/>
                <w:sz w:val="18"/>
              </w:rPr>
              <w:t>100.00%</w:t>
            </w:r>
          </w:p>
        </w:tc>
        <w:tc>
          <w:tcPr>
            <w:tcW w:type="dxa" w:w="1680"/>
          </w:tcPr>
          <w:p>
            <w:r/>
            <w:r>
              <w:rPr>
                <w:b w:val="0"/>
                <w:sz w:val="18"/>
              </w:rPr>
              <w:t>1.0000</w:t>
            </w:r>
          </w:p>
        </w:tc>
        <w:tc>
          <w:tcPr>
            <w:tcW w:type="dxa" w:w="1680"/>
          </w:tcPr>
          <w:p>
            <w:r/>
            <w:r>
              <w:rPr>
                <w:b w:val="0"/>
                <w:sz w:val="18"/>
              </w:rPr>
              <w:t>1.0000</w:t>
            </w:r>
          </w:p>
        </w:tc>
      </w:tr>
      <w:tr>
        <w:tc>
          <w:tcPr>
            <w:tcW w:type="dxa" w:w="1680"/>
          </w:tcPr>
          <w:p>
            <w:r/>
            <w:r>
              <w:rPr>
                <w:b w:val="0"/>
                <w:sz w:val="18"/>
              </w:rPr>
              <w:t>noisy_typos</w:t>
            </w:r>
          </w:p>
        </w:tc>
        <w:tc>
          <w:tcPr>
            <w:tcW w:type="dxa" w:w="1680"/>
          </w:tcPr>
          <w:p>
            <w:r/>
            <w:r>
              <w:rPr>
                <w:b w:val="0"/>
                <w:sz w:val="18"/>
              </w:rPr>
              <w:t>20</w:t>
            </w:r>
          </w:p>
        </w:tc>
        <w:tc>
          <w:tcPr>
            <w:tcW w:type="dxa" w:w="1680"/>
          </w:tcPr>
          <w:p>
            <w:r/>
            <w:r>
              <w:rPr>
                <w:b w:val="0"/>
                <w:sz w:val="18"/>
              </w:rPr>
              <w:t>80.00%</w:t>
            </w:r>
          </w:p>
        </w:tc>
        <w:tc>
          <w:tcPr>
            <w:tcW w:type="dxa" w:w="1680"/>
          </w:tcPr>
          <w:p>
            <w:r/>
            <w:r>
              <w:rPr>
                <w:b w:val="0"/>
                <w:sz w:val="18"/>
              </w:rPr>
              <w:t>100.00%</w:t>
            </w:r>
          </w:p>
        </w:tc>
        <w:tc>
          <w:tcPr>
            <w:tcW w:type="dxa" w:w="1680"/>
          </w:tcPr>
          <w:p>
            <w:r/>
            <w:r>
              <w:rPr>
                <w:b w:val="0"/>
                <w:sz w:val="18"/>
              </w:rPr>
              <w:t>0.7667</w:t>
            </w:r>
          </w:p>
        </w:tc>
        <w:tc>
          <w:tcPr>
            <w:tcW w:type="dxa" w:w="1680"/>
          </w:tcPr>
          <w:p>
            <w:r/>
            <w:r>
              <w:rPr>
                <w:b w:val="0"/>
                <w:sz w:val="18"/>
              </w:rPr>
              <w:t>0.9667</w:t>
            </w:r>
          </w:p>
        </w:tc>
      </w:tr>
      <w:tr>
        <w:tc>
          <w:tcPr>
            <w:tcW w:type="dxa" w:w="1680"/>
          </w:tcPr>
          <w:p>
            <w:r/>
            <w:r>
              <w:rPr>
                <w:b w:val="0"/>
                <w:sz w:val="18"/>
              </w:rPr>
              <w:t>short_telegraphic</w:t>
            </w:r>
          </w:p>
        </w:tc>
        <w:tc>
          <w:tcPr>
            <w:tcW w:type="dxa" w:w="1680"/>
          </w:tcPr>
          <w:p>
            <w:r/>
            <w:r>
              <w:rPr>
                <w:b w:val="0"/>
                <w:sz w:val="18"/>
              </w:rPr>
              <w:t>30</w:t>
            </w:r>
          </w:p>
        </w:tc>
        <w:tc>
          <w:tcPr>
            <w:tcW w:type="dxa" w:w="1680"/>
          </w:tcPr>
          <w:p>
            <w:r/>
            <w:r>
              <w:rPr>
                <w:b w:val="0"/>
                <w:sz w:val="18"/>
              </w:rPr>
              <w:t>100.00%</w:t>
            </w:r>
          </w:p>
        </w:tc>
        <w:tc>
          <w:tcPr>
            <w:tcW w:type="dxa" w:w="1680"/>
          </w:tcPr>
          <w:p>
            <w:r/>
            <w:r>
              <w:rPr>
                <w:b w:val="0"/>
                <w:sz w:val="18"/>
              </w:rPr>
              <w:t>100.00%</w:t>
            </w:r>
          </w:p>
        </w:tc>
        <w:tc>
          <w:tcPr>
            <w:tcW w:type="dxa" w:w="1680"/>
          </w:tcPr>
          <w:p>
            <w:r/>
            <w:r>
              <w:rPr>
                <w:b w:val="0"/>
                <w:sz w:val="18"/>
              </w:rPr>
              <w:t>1.0000</w:t>
            </w:r>
          </w:p>
        </w:tc>
        <w:tc>
          <w:tcPr>
            <w:tcW w:type="dxa" w:w="1680"/>
          </w:tcPr>
          <w:p>
            <w:r/>
            <w:r>
              <w:rPr>
                <w:b w:val="0"/>
                <w:sz w:val="18"/>
              </w:rPr>
              <w:t>1.0000</w:t>
            </w:r>
          </w:p>
        </w:tc>
      </w:tr>
      <w:tr>
        <w:tc>
          <w:tcPr>
            <w:tcW w:type="dxa" w:w="1680"/>
          </w:tcPr>
          <w:p>
            <w:r/>
            <w:r>
              <w:rPr>
                <w:b w:val="0"/>
                <w:sz w:val="18"/>
              </w:rPr>
              <w:t>spanish</w:t>
            </w:r>
          </w:p>
        </w:tc>
        <w:tc>
          <w:tcPr>
            <w:tcW w:type="dxa" w:w="1680"/>
          </w:tcPr>
          <w:p>
            <w:r/>
            <w:r>
              <w:rPr>
                <w:b w:val="0"/>
                <w:sz w:val="18"/>
              </w:rPr>
              <w:t>20</w:t>
            </w:r>
          </w:p>
        </w:tc>
        <w:tc>
          <w:tcPr>
            <w:tcW w:type="dxa" w:w="1680"/>
          </w:tcPr>
          <w:p>
            <w:r/>
            <w:r>
              <w:rPr>
                <w:b w:val="0"/>
                <w:sz w:val="18"/>
              </w:rPr>
              <w:t>20.00%</w:t>
            </w:r>
          </w:p>
        </w:tc>
        <w:tc>
          <w:tcPr>
            <w:tcW w:type="dxa" w:w="1680"/>
          </w:tcPr>
          <w:p>
            <w:r/>
            <w:r>
              <w:rPr>
                <w:b w:val="0"/>
                <w:sz w:val="18"/>
              </w:rPr>
              <w:t>100.00%</w:t>
            </w:r>
          </w:p>
        </w:tc>
        <w:tc>
          <w:tcPr>
            <w:tcW w:type="dxa" w:w="1680"/>
          </w:tcPr>
          <w:p>
            <w:r/>
            <w:r>
              <w:rPr>
                <w:b w:val="0"/>
                <w:sz w:val="18"/>
              </w:rPr>
              <w:t>0.1700</w:t>
            </w:r>
          </w:p>
        </w:tc>
        <w:tc>
          <w:tcPr>
            <w:tcW w:type="dxa" w:w="1680"/>
          </w:tcPr>
          <w:p>
            <w:r/>
            <w:r>
              <w:rPr>
                <w:b w:val="0"/>
                <w:sz w:val="18"/>
              </w:rPr>
              <w:t>1.0000</w:t>
            </w:r>
          </w:p>
        </w:tc>
      </w:tr>
      <w:tr>
        <w:tc>
          <w:tcPr>
            <w:tcW w:type="dxa" w:w="1680"/>
          </w:tcPr>
          <w:p>
            <w:r/>
            <w:r>
              <w:rPr>
                <w:b w:val="0"/>
                <w:sz w:val="18"/>
              </w:rPr>
              <w:t>tamil_transliterated</w:t>
            </w:r>
          </w:p>
        </w:tc>
        <w:tc>
          <w:tcPr>
            <w:tcW w:type="dxa" w:w="1680"/>
          </w:tcPr>
          <w:p>
            <w:r/>
            <w:r>
              <w:rPr>
                <w:b w:val="0"/>
                <w:sz w:val="18"/>
              </w:rPr>
              <w:t>10</w:t>
            </w:r>
          </w:p>
        </w:tc>
        <w:tc>
          <w:tcPr>
            <w:tcW w:type="dxa" w:w="1680"/>
          </w:tcPr>
          <w:p>
            <w:r/>
            <w:r>
              <w:rPr>
                <w:b w:val="0"/>
                <w:sz w:val="18"/>
              </w:rPr>
              <w:t>100.00%</w:t>
            </w:r>
          </w:p>
        </w:tc>
        <w:tc>
          <w:tcPr>
            <w:tcW w:type="dxa" w:w="1680"/>
          </w:tcPr>
          <w:p>
            <w:r/>
            <w:r>
              <w:rPr>
                <w:b w:val="0"/>
                <w:sz w:val="18"/>
              </w:rPr>
              <w:t>100.00%</w:t>
            </w:r>
          </w:p>
        </w:tc>
        <w:tc>
          <w:tcPr>
            <w:tcW w:type="dxa" w:w="1680"/>
          </w:tcPr>
          <w:p>
            <w:r/>
            <w:r>
              <w:rPr>
                <w:b w:val="0"/>
                <w:sz w:val="18"/>
              </w:rPr>
              <w:t>1.0000</w:t>
            </w:r>
          </w:p>
        </w:tc>
        <w:tc>
          <w:tcPr>
            <w:tcW w:type="dxa" w:w="1680"/>
          </w:tcPr>
          <w:p>
            <w:r/>
            <w:r>
              <w:rPr>
                <w:b w:val="0"/>
                <w:sz w:val="18"/>
              </w:rPr>
              <w:t>1.0000</w:t>
            </w:r>
          </w:p>
        </w:tc>
      </w:tr>
      <w:tr>
        <w:tc>
          <w:tcPr>
            <w:tcW w:type="dxa" w:w="1680"/>
          </w:tcPr>
          <w:p>
            <w:r/>
            <w:r>
              <w:rPr>
                <w:b w:val="0"/>
                <w:sz w:val="18"/>
              </w:rPr>
              <w:t>underspecified</w:t>
            </w:r>
          </w:p>
        </w:tc>
        <w:tc>
          <w:tcPr>
            <w:tcW w:type="dxa" w:w="1680"/>
          </w:tcPr>
          <w:p>
            <w:r/>
            <w:r>
              <w:rPr>
                <w:b w:val="0"/>
                <w:sz w:val="18"/>
              </w:rPr>
              <w:t>20</w:t>
            </w:r>
          </w:p>
        </w:tc>
        <w:tc>
          <w:tcPr>
            <w:tcW w:type="dxa" w:w="1680"/>
          </w:tcPr>
          <w:p>
            <w:r/>
            <w:r>
              <w:rPr>
                <w:b w:val="0"/>
                <w:sz w:val="18"/>
              </w:rPr>
              <w:t>55.00%</w:t>
            </w:r>
          </w:p>
        </w:tc>
        <w:tc>
          <w:tcPr>
            <w:tcW w:type="dxa" w:w="1680"/>
          </w:tcPr>
          <w:p>
            <w:r/>
            <w:r>
              <w:rPr>
                <w:b w:val="0"/>
                <w:sz w:val="18"/>
              </w:rPr>
              <w:t>100.00%</w:t>
            </w:r>
          </w:p>
        </w:tc>
        <w:tc>
          <w:tcPr>
            <w:tcW w:type="dxa" w:w="1680"/>
          </w:tcPr>
          <w:p>
            <w:r/>
            <w:r>
              <w:rPr>
                <w:b w:val="0"/>
                <w:sz w:val="18"/>
              </w:rPr>
              <w:t>0.5375</w:t>
            </w:r>
          </w:p>
        </w:tc>
        <w:tc>
          <w:tcPr>
            <w:tcW w:type="dxa" w:w="1680"/>
          </w:tcPr>
          <w:p>
            <w:r/>
            <w:r>
              <w:rPr>
                <w:b w:val="0"/>
                <w:sz w:val="18"/>
              </w:rPr>
              <w:t>1.0000</w:t>
            </w:r>
          </w:p>
        </w:tc>
      </w:tr>
    </w:tbl>
    <w:p/>
    <w:p>
      <w:pPr>
        <w:pStyle w:val="Heading1"/>
      </w:pPr>
      <w:r>
        <w:t>Robustness By Target Standard</w:t>
      </w:r>
    </w:p>
    <w:tbl>
      <w:tblPr>
        <w:tblStyle w:val="LightShading-Accent1"/>
        <w:tblW w:type="auto" w:w="0"/>
        <w:tblLook w:firstColumn="1" w:firstRow="1" w:lastColumn="0" w:lastRow="0" w:noHBand="0" w:noVBand="1" w:val="04A0"/>
      </w:tblPr>
      <w:tblGrid>
        <w:gridCol w:w="1680"/>
        <w:gridCol w:w="1680"/>
        <w:gridCol w:w="1680"/>
        <w:gridCol w:w="1680"/>
        <w:gridCol w:w="1680"/>
        <w:gridCol w:w="1680"/>
      </w:tblGrid>
      <w:tr>
        <w:tc>
          <w:tcPr>
            <w:tcW w:type="dxa" w:w="1680"/>
          </w:tcPr>
          <w:p>
            <w:r/>
            <w:r>
              <w:rPr>
                <w:b/>
                <w:sz w:val="18"/>
              </w:rPr>
              <w:t>Target</w:t>
            </w:r>
          </w:p>
        </w:tc>
        <w:tc>
          <w:tcPr>
            <w:tcW w:type="dxa" w:w="1680"/>
          </w:tcPr>
          <w:p>
            <w:r/>
            <w:r>
              <w:rPr>
                <w:b/>
                <w:sz w:val="18"/>
              </w:rPr>
              <w:t>Queries</w:t>
            </w:r>
          </w:p>
        </w:tc>
        <w:tc>
          <w:tcPr>
            <w:tcW w:type="dxa" w:w="1680"/>
          </w:tcPr>
          <w:p>
            <w:r/>
            <w:r>
              <w:rPr>
                <w:b/>
                <w:sz w:val="18"/>
              </w:rPr>
              <w:t>Baseline HR@3</w:t>
            </w:r>
          </w:p>
        </w:tc>
        <w:tc>
          <w:tcPr>
            <w:tcW w:type="dxa" w:w="1680"/>
          </w:tcPr>
          <w:p>
            <w:r/>
            <w:r>
              <w:rPr>
                <w:b/>
                <w:sz w:val="18"/>
              </w:rPr>
              <w:t>After HR@3</w:t>
            </w:r>
          </w:p>
        </w:tc>
        <w:tc>
          <w:tcPr>
            <w:tcW w:type="dxa" w:w="1680"/>
          </w:tcPr>
          <w:p>
            <w:r/>
            <w:r>
              <w:rPr>
                <w:b/>
                <w:sz w:val="18"/>
              </w:rPr>
              <w:t>Baseline MRR</w:t>
            </w:r>
          </w:p>
        </w:tc>
        <w:tc>
          <w:tcPr>
            <w:tcW w:type="dxa" w:w="1680"/>
          </w:tcPr>
          <w:p>
            <w:r/>
            <w:r>
              <w:rPr>
                <w:b/>
                <w:sz w:val="18"/>
              </w:rPr>
              <w:t>After MRR</w:t>
            </w:r>
          </w:p>
        </w:tc>
      </w:tr>
      <w:tr>
        <w:tc>
          <w:tcPr>
            <w:tcW w:type="dxa" w:w="1680"/>
          </w:tcPr>
          <w:p>
            <w:r/>
            <w:r>
              <w:rPr>
                <w:b w:val="0"/>
                <w:sz w:val="18"/>
              </w:rPr>
              <w:t>33 Grade Ordinary Portland Cement</w:t>
            </w:r>
          </w:p>
        </w:tc>
        <w:tc>
          <w:tcPr>
            <w:tcW w:type="dxa" w:w="1680"/>
          </w:tcPr>
          <w:p>
            <w:r/>
            <w:r>
              <w:rPr>
                <w:b w:val="0"/>
                <w:sz w:val="18"/>
              </w:rPr>
              <w:t>20</w:t>
            </w:r>
          </w:p>
        </w:tc>
        <w:tc>
          <w:tcPr>
            <w:tcW w:type="dxa" w:w="1680"/>
          </w:tcPr>
          <w:p>
            <w:r/>
            <w:r>
              <w:rPr>
                <w:b w:val="0"/>
                <w:sz w:val="18"/>
              </w:rPr>
              <w:t>100.00%</w:t>
            </w:r>
          </w:p>
        </w:tc>
        <w:tc>
          <w:tcPr>
            <w:tcW w:type="dxa" w:w="1680"/>
          </w:tcPr>
          <w:p>
            <w:r/>
            <w:r>
              <w:rPr>
                <w:b w:val="0"/>
                <w:sz w:val="18"/>
              </w:rPr>
              <w:t>100.00%</w:t>
            </w:r>
          </w:p>
        </w:tc>
        <w:tc>
          <w:tcPr>
            <w:tcW w:type="dxa" w:w="1680"/>
          </w:tcPr>
          <w:p>
            <w:r/>
            <w:r>
              <w:rPr>
                <w:b w:val="0"/>
                <w:sz w:val="18"/>
              </w:rPr>
              <w:t>1.0000</w:t>
            </w:r>
          </w:p>
        </w:tc>
        <w:tc>
          <w:tcPr>
            <w:tcW w:type="dxa" w:w="1680"/>
          </w:tcPr>
          <w:p>
            <w:r/>
            <w:r>
              <w:rPr>
                <w:b w:val="0"/>
                <w:sz w:val="18"/>
              </w:rPr>
              <w:t>1.0000</w:t>
            </w:r>
          </w:p>
        </w:tc>
      </w:tr>
      <w:tr>
        <w:tc>
          <w:tcPr>
            <w:tcW w:type="dxa" w:w="1680"/>
          </w:tcPr>
          <w:p>
            <w:r/>
            <w:r>
              <w:rPr>
                <w:b w:val="0"/>
                <w:sz w:val="18"/>
              </w:rPr>
              <w:t>Calcined Clay Portland Pozzolana Cement</w:t>
            </w:r>
          </w:p>
        </w:tc>
        <w:tc>
          <w:tcPr>
            <w:tcW w:type="dxa" w:w="1680"/>
          </w:tcPr>
          <w:p>
            <w:r/>
            <w:r>
              <w:rPr>
                <w:b w:val="0"/>
                <w:sz w:val="18"/>
              </w:rPr>
              <w:t>20</w:t>
            </w:r>
          </w:p>
        </w:tc>
        <w:tc>
          <w:tcPr>
            <w:tcW w:type="dxa" w:w="1680"/>
          </w:tcPr>
          <w:p>
            <w:r/>
            <w:r>
              <w:rPr>
                <w:b w:val="0"/>
                <w:sz w:val="18"/>
              </w:rPr>
              <w:t>95.00%</w:t>
            </w:r>
          </w:p>
        </w:tc>
        <w:tc>
          <w:tcPr>
            <w:tcW w:type="dxa" w:w="1680"/>
          </w:tcPr>
          <w:p>
            <w:r/>
            <w:r>
              <w:rPr>
                <w:b w:val="0"/>
                <w:sz w:val="18"/>
              </w:rPr>
              <w:t>100.00%</w:t>
            </w:r>
          </w:p>
        </w:tc>
        <w:tc>
          <w:tcPr>
            <w:tcW w:type="dxa" w:w="1680"/>
          </w:tcPr>
          <w:p>
            <w:r/>
            <w:r>
              <w:rPr>
                <w:b w:val="0"/>
                <w:sz w:val="18"/>
              </w:rPr>
              <w:t>0.9000</w:t>
            </w:r>
          </w:p>
        </w:tc>
        <w:tc>
          <w:tcPr>
            <w:tcW w:type="dxa" w:w="1680"/>
          </w:tcPr>
          <w:p>
            <w:r/>
            <w:r>
              <w:rPr>
                <w:b w:val="0"/>
                <w:sz w:val="18"/>
              </w:rPr>
              <w:t>1.0000</w:t>
            </w:r>
          </w:p>
        </w:tc>
      </w:tr>
      <w:tr>
        <w:tc>
          <w:tcPr>
            <w:tcW w:type="dxa" w:w="1680"/>
          </w:tcPr>
          <w:p>
            <w:r/>
            <w:r>
              <w:rPr>
                <w:b w:val="0"/>
                <w:sz w:val="18"/>
              </w:rPr>
              <w:t>Coarse and Fine Aggregates</w:t>
            </w:r>
          </w:p>
        </w:tc>
        <w:tc>
          <w:tcPr>
            <w:tcW w:type="dxa" w:w="1680"/>
          </w:tcPr>
          <w:p>
            <w:r/>
            <w:r>
              <w:rPr>
                <w:b w:val="0"/>
                <w:sz w:val="18"/>
              </w:rPr>
              <w:t>20</w:t>
            </w:r>
          </w:p>
        </w:tc>
        <w:tc>
          <w:tcPr>
            <w:tcW w:type="dxa" w:w="1680"/>
          </w:tcPr>
          <w:p>
            <w:r/>
            <w:r>
              <w:rPr>
                <w:b w:val="0"/>
                <w:sz w:val="18"/>
              </w:rPr>
              <w:t>85.00%</w:t>
            </w:r>
          </w:p>
        </w:tc>
        <w:tc>
          <w:tcPr>
            <w:tcW w:type="dxa" w:w="1680"/>
          </w:tcPr>
          <w:p>
            <w:r/>
            <w:r>
              <w:rPr>
                <w:b w:val="0"/>
                <w:sz w:val="18"/>
              </w:rPr>
              <w:t>100.00%</w:t>
            </w:r>
          </w:p>
        </w:tc>
        <w:tc>
          <w:tcPr>
            <w:tcW w:type="dxa" w:w="1680"/>
          </w:tcPr>
          <w:p>
            <w:r/>
            <w:r>
              <w:rPr>
                <w:b w:val="0"/>
                <w:sz w:val="18"/>
              </w:rPr>
              <w:t>0.7667</w:t>
            </w:r>
          </w:p>
        </w:tc>
        <w:tc>
          <w:tcPr>
            <w:tcW w:type="dxa" w:w="1680"/>
          </w:tcPr>
          <w:p>
            <w:r/>
            <w:r>
              <w:rPr>
                <w:b w:val="0"/>
                <w:sz w:val="18"/>
              </w:rPr>
              <w:t>1.0000</w:t>
            </w:r>
          </w:p>
        </w:tc>
      </w:tr>
      <w:tr>
        <w:tc>
          <w:tcPr>
            <w:tcW w:type="dxa" w:w="1680"/>
          </w:tcPr>
          <w:p>
            <w:r/>
            <w:r>
              <w:rPr>
                <w:b w:val="0"/>
                <w:sz w:val="18"/>
              </w:rPr>
              <w:t>Corrugated Asbestos Cement Sheets</w:t>
            </w:r>
          </w:p>
        </w:tc>
        <w:tc>
          <w:tcPr>
            <w:tcW w:type="dxa" w:w="1680"/>
          </w:tcPr>
          <w:p>
            <w:r/>
            <w:r>
              <w:rPr>
                <w:b w:val="0"/>
                <w:sz w:val="18"/>
              </w:rPr>
              <w:t>20</w:t>
            </w:r>
          </w:p>
        </w:tc>
        <w:tc>
          <w:tcPr>
            <w:tcW w:type="dxa" w:w="1680"/>
          </w:tcPr>
          <w:p>
            <w:r/>
            <w:r>
              <w:rPr>
                <w:b w:val="0"/>
                <w:sz w:val="18"/>
              </w:rPr>
              <w:t>75.00%</w:t>
            </w:r>
          </w:p>
        </w:tc>
        <w:tc>
          <w:tcPr>
            <w:tcW w:type="dxa" w:w="1680"/>
          </w:tcPr>
          <w:p>
            <w:r/>
            <w:r>
              <w:rPr>
                <w:b w:val="0"/>
                <w:sz w:val="18"/>
              </w:rPr>
              <w:t>100.00%</w:t>
            </w:r>
          </w:p>
        </w:tc>
        <w:tc>
          <w:tcPr>
            <w:tcW w:type="dxa" w:w="1680"/>
          </w:tcPr>
          <w:p>
            <w:r/>
            <w:r>
              <w:rPr>
                <w:b w:val="0"/>
                <w:sz w:val="18"/>
              </w:rPr>
              <w:t>0.7500</w:t>
            </w:r>
          </w:p>
        </w:tc>
        <w:tc>
          <w:tcPr>
            <w:tcW w:type="dxa" w:w="1680"/>
          </w:tcPr>
          <w:p>
            <w:r/>
            <w:r>
              <w:rPr>
                <w:b w:val="0"/>
                <w:sz w:val="18"/>
              </w:rPr>
              <w:t>1.0000</w:t>
            </w:r>
          </w:p>
        </w:tc>
      </w:tr>
      <w:tr>
        <w:tc>
          <w:tcPr>
            <w:tcW w:type="dxa" w:w="1680"/>
          </w:tcPr>
          <w:p>
            <w:r/>
            <w:r>
              <w:rPr>
                <w:b w:val="0"/>
                <w:sz w:val="18"/>
              </w:rPr>
              <w:t>Lightweight Concrete Masonry Blocks</w:t>
            </w:r>
          </w:p>
        </w:tc>
        <w:tc>
          <w:tcPr>
            <w:tcW w:type="dxa" w:w="1680"/>
          </w:tcPr>
          <w:p>
            <w:r/>
            <w:r>
              <w:rPr>
                <w:b w:val="0"/>
                <w:sz w:val="18"/>
              </w:rPr>
              <w:t>20</w:t>
            </w:r>
          </w:p>
        </w:tc>
        <w:tc>
          <w:tcPr>
            <w:tcW w:type="dxa" w:w="1680"/>
          </w:tcPr>
          <w:p>
            <w:r/>
            <w:r>
              <w:rPr>
                <w:b w:val="0"/>
                <w:sz w:val="18"/>
              </w:rPr>
              <w:t>65.00%</w:t>
            </w:r>
          </w:p>
        </w:tc>
        <w:tc>
          <w:tcPr>
            <w:tcW w:type="dxa" w:w="1680"/>
          </w:tcPr>
          <w:p>
            <w:r/>
            <w:r>
              <w:rPr>
                <w:b w:val="0"/>
                <w:sz w:val="18"/>
              </w:rPr>
              <w:t>100.00%</w:t>
            </w:r>
          </w:p>
        </w:tc>
        <w:tc>
          <w:tcPr>
            <w:tcW w:type="dxa" w:w="1680"/>
          </w:tcPr>
          <w:p>
            <w:r/>
            <w:r>
              <w:rPr>
                <w:b w:val="0"/>
                <w:sz w:val="18"/>
              </w:rPr>
              <w:t>0.6250</w:t>
            </w:r>
          </w:p>
        </w:tc>
        <w:tc>
          <w:tcPr>
            <w:tcW w:type="dxa" w:w="1680"/>
          </w:tcPr>
          <w:p>
            <w:r/>
            <w:r>
              <w:rPr>
                <w:b w:val="0"/>
                <w:sz w:val="18"/>
              </w:rPr>
              <w:t>0.9750</w:t>
            </w:r>
          </w:p>
        </w:tc>
      </w:tr>
      <w:tr>
        <w:tc>
          <w:tcPr>
            <w:tcW w:type="dxa" w:w="1680"/>
          </w:tcPr>
          <w:p>
            <w:r/>
            <w:r>
              <w:rPr>
                <w:b w:val="0"/>
                <w:sz w:val="18"/>
              </w:rPr>
              <w:t>Masonry Cement</w:t>
            </w:r>
          </w:p>
        </w:tc>
        <w:tc>
          <w:tcPr>
            <w:tcW w:type="dxa" w:w="1680"/>
          </w:tcPr>
          <w:p>
            <w:r/>
            <w:r>
              <w:rPr>
                <w:b w:val="0"/>
                <w:sz w:val="18"/>
              </w:rPr>
              <w:t>20</w:t>
            </w:r>
          </w:p>
        </w:tc>
        <w:tc>
          <w:tcPr>
            <w:tcW w:type="dxa" w:w="1680"/>
          </w:tcPr>
          <w:p>
            <w:r/>
            <w:r>
              <w:rPr>
                <w:b w:val="0"/>
                <w:sz w:val="18"/>
              </w:rPr>
              <w:t>65.00%</w:t>
            </w:r>
          </w:p>
        </w:tc>
        <w:tc>
          <w:tcPr>
            <w:tcW w:type="dxa" w:w="1680"/>
          </w:tcPr>
          <w:p>
            <w:r/>
            <w:r>
              <w:rPr>
                <w:b w:val="0"/>
                <w:sz w:val="18"/>
              </w:rPr>
              <w:t>100.00%</w:t>
            </w:r>
          </w:p>
        </w:tc>
        <w:tc>
          <w:tcPr>
            <w:tcW w:type="dxa" w:w="1680"/>
          </w:tcPr>
          <w:p>
            <w:r/>
            <w:r>
              <w:rPr>
                <w:b w:val="0"/>
                <w:sz w:val="18"/>
              </w:rPr>
              <w:t>0.6500</w:t>
            </w:r>
          </w:p>
        </w:tc>
        <w:tc>
          <w:tcPr>
            <w:tcW w:type="dxa" w:w="1680"/>
          </w:tcPr>
          <w:p>
            <w:r/>
            <w:r>
              <w:rPr>
                <w:b w:val="0"/>
                <w:sz w:val="18"/>
              </w:rPr>
              <w:t>1.0000</w:t>
            </w:r>
          </w:p>
        </w:tc>
      </w:tr>
      <w:tr>
        <w:tc>
          <w:tcPr>
            <w:tcW w:type="dxa" w:w="1680"/>
          </w:tcPr>
          <w:p>
            <w:r/>
            <w:r>
              <w:rPr>
                <w:b w:val="0"/>
                <w:sz w:val="18"/>
              </w:rPr>
              <w:t>Portland Slag Cement</w:t>
            </w:r>
          </w:p>
        </w:tc>
        <w:tc>
          <w:tcPr>
            <w:tcW w:type="dxa" w:w="1680"/>
          </w:tcPr>
          <w:p>
            <w:r/>
            <w:r>
              <w:rPr>
                <w:b w:val="0"/>
                <w:sz w:val="18"/>
              </w:rPr>
              <w:t>20</w:t>
            </w:r>
          </w:p>
        </w:tc>
        <w:tc>
          <w:tcPr>
            <w:tcW w:type="dxa" w:w="1680"/>
          </w:tcPr>
          <w:p>
            <w:r/>
            <w:r>
              <w:rPr>
                <w:b w:val="0"/>
                <w:sz w:val="18"/>
              </w:rPr>
              <w:t>65.00%</w:t>
            </w:r>
          </w:p>
        </w:tc>
        <w:tc>
          <w:tcPr>
            <w:tcW w:type="dxa" w:w="1680"/>
          </w:tcPr>
          <w:p>
            <w:r/>
            <w:r>
              <w:rPr>
                <w:b w:val="0"/>
                <w:sz w:val="18"/>
              </w:rPr>
              <w:t>100.00%</w:t>
            </w:r>
          </w:p>
        </w:tc>
        <w:tc>
          <w:tcPr>
            <w:tcW w:type="dxa" w:w="1680"/>
          </w:tcPr>
          <w:p>
            <w:r/>
            <w:r>
              <w:rPr>
                <w:b w:val="0"/>
                <w:sz w:val="18"/>
              </w:rPr>
              <w:t>0.6625</w:t>
            </w:r>
          </w:p>
        </w:tc>
        <w:tc>
          <w:tcPr>
            <w:tcW w:type="dxa" w:w="1680"/>
          </w:tcPr>
          <w:p>
            <w:r/>
            <w:r>
              <w:rPr>
                <w:b w:val="0"/>
                <w:sz w:val="18"/>
              </w:rPr>
              <w:t>1.0000</w:t>
            </w:r>
          </w:p>
        </w:tc>
      </w:tr>
      <w:tr>
        <w:tc>
          <w:tcPr>
            <w:tcW w:type="dxa" w:w="1680"/>
          </w:tcPr>
          <w:p>
            <w:r/>
            <w:r>
              <w:rPr>
                <w:b w:val="0"/>
                <w:sz w:val="18"/>
              </w:rPr>
              <w:t>Precast Concrete Pipes</w:t>
            </w:r>
          </w:p>
        </w:tc>
        <w:tc>
          <w:tcPr>
            <w:tcW w:type="dxa" w:w="1680"/>
          </w:tcPr>
          <w:p>
            <w:r/>
            <w:r>
              <w:rPr>
                <w:b w:val="0"/>
                <w:sz w:val="18"/>
              </w:rPr>
              <w:t>20</w:t>
            </w:r>
          </w:p>
        </w:tc>
        <w:tc>
          <w:tcPr>
            <w:tcW w:type="dxa" w:w="1680"/>
          </w:tcPr>
          <w:p>
            <w:r/>
            <w:r>
              <w:rPr>
                <w:b w:val="0"/>
                <w:sz w:val="18"/>
              </w:rPr>
              <w:t>75.00%</w:t>
            </w:r>
          </w:p>
        </w:tc>
        <w:tc>
          <w:tcPr>
            <w:tcW w:type="dxa" w:w="1680"/>
          </w:tcPr>
          <w:p>
            <w:r/>
            <w:r>
              <w:rPr>
                <w:b w:val="0"/>
                <w:sz w:val="18"/>
              </w:rPr>
              <w:t>100.00%</w:t>
            </w:r>
          </w:p>
        </w:tc>
        <w:tc>
          <w:tcPr>
            <w:tcW w:type="dxa" w:w="1680"/>
          </w:tcPr>
          <w:p>
            <w:r/>
            <w:r>
              <w:rPr>
                <w:b w:val="0"/>
                <w:sz w:val="18"/>
              </w:rPr>
              <w:t>0.6933</w:t>
            </w:r>
          </w:p>
        </w:tc>
        <w:tc>
          <w:tcPr>
            <w:tcW w:type="dxa" w:w="1680"/>
          </w:tcPr>
          <w:p>
            <w:r/>
            <w:r>
              <w:rPr>
                <w:b w:val="0"/>
                <w:sz w:val="18"/>
              </w:rPr>
              <w:t>1.0000</w:t>
            </w:r>
          </w:p>
        </w:tc>
      </w:tr>
      <w:tr>
        <w:tc>
          <w:tcPr>
            <w:tcW w:type="dxa" w:w="1680"/>
          </w:tcPr>
          <w:p>
            <w:r/>
            <w:r>
              <w:rPr>
                <w:b w:val="0"/>
                <w:sz w:val="18"/>
              </w:rPr>
              <w:t>Supersulphated Cement</w:t>
            </w:r>
          </w:p>
        </w:tc>
        <w:tc>
          <w:tcPr>
            <w:tcW w:type="dxa" w:w="1680"/>
          </w:tcPr>
          <w:p>
            <w:r/>
            <w:r>
              <w:rPr>
                <w:b w:val="0"/>
                <w:sz w:val="18"/>
              </w:rPr>
              <w:t>20</w:t>
            </w:r>
          </w:p>
        </w:tc>
        <w:tc>
          <w:tcPr>
            <w:tcW w:type="dxa" w:w="1680"/>
          </w:tcPr>
          <w:p>
            <w:r/>
            <w:r>
              <w:rPr>
                <w:b w:val="0"/>
                <w:sz w:val="18"/>
              </w:rPr>
              <w:t>85.00%</w:t>
            </w:r>
          </w:p>
        </w:tc>
        <w:tc>
          <w:tcPr>
            <w:tcW w:type="dxa" w:w="1680"/>
          </w:tcPr>
          <w:p>
            <w:r/>
            <w:r>
              <w:rPr>
                <w:b w:val="0"/>
                <w:sz w:val="18"/>
              </w:rPr>
              <w:t>100.00%</w:t>
            </w:r>
          </w:p>
        </w:tc>
        <w:tc>
          <w:tcPr>
            <w:tcW w:type="dxa" w:w="1680"/>
          </w:tcPr>
          <w:p>
            <w:r/>
            <w:r>
              <w:rPr>
                <w:b w:val="0"/>
                <w:sz w:val="18"/>
              </w:rPr>
              <w:t>0.8500</w:t>
            </w:r>
          </w:p>
        </w:tc>
        <w:tc>
          <w:tcPr>
            <w:tcW w:type="dxa" w:w="1680"/>
          </w:tcPr>
          <w:p>
            <w:r/>
            <w:r>
              <w:rPr>
                <w:b w:val="0"/>
                <w:sz w:val="18"/>
              </w:rPr>
              <w:t>1.0000</w:t>
            </w:r>
          </w:p>
        </w:tc>
      </w:tr>
      <w:tr>
        <w:tc>
          <w:tcPr>
            <w:tcW w:type="dxa" w:w="1680"/>
          </w:tcPr>
          <w:p>
            <w:r/>
            <w:r>
              <w:rPr>
                <w:b w:val="0"/>
                <w:sz w:val="18"/>
              </w:rPr>
              <w:t>White Portland Cement</w:t>
            </w:r>
          </w:p>
        </w:tc>
        <w:tc>
          <w:tcPr>
            <w:tcW w:type="dxa" w:w="1680"/>
          </w:tcPr>
          <w:p>
            <w:r/>
            <w:r>
              <w:rPr>
                <w:b w:val="0"/>
                <w:sz w:val="18"/>
              </w:rPr>
              <w:t>20</w:t>
            </w:r>
          </w:p>
        </w:tc>
        <w:tc>
          <w:tcPr>
            <w:tcW w:type="dxa" w:w="1680"/>
          </w:tcPr>
          <w:p>
            <w:r/>
            <w:r>
              <w:rPr>
                <w:b w:val="0"/>
                <w:sz w:val="18"/>
              </w:rPr>
              <w:t>75.00%</w:t>
            </w:r>
          </w:p>
        </w:tc>
        <w:tc>
          <w:tcPr>
            <w:tcW w:type="dxa" w:w="1680"/>
          </w:tcPr>
          <w:p>
            <w:r/>
            <w:r>
              <w:rPr>
                <w:b w:val="0"/>
                <w:sz w:val="18"/>
              </w:rPr>
              <w:t>100.00%</w:t>
            </w:r>
          </w:p>
        </w:tc>
        <w:tc>
          <w:tcPr>
            <w:tcW w:type="dxa" w:w="1680"/>
          </w:tcPr>
          <w:p>
            <w:r/>
            <w:r>
              <w:rPr>
                <w:b w:val="0"/>
                <w:sz w:val="18"/>
              </w:rPr>
              <w:t>0.7467</w:t>
            </w:r>
          </w:p>
        </w:tc>
        <w:tc>
          <w:tcPr>
            <w:tcW w:type="dxa" w:w="1680"/>
          </w:tcPr>
          <w:p>
            <w:r/>
            <w:r>
              <w:rPr>
                <w:b w:val="0"/>
                <w:sz w:val="18"/>
              </w:rPr>
              <w:t>0.9667</w:t>
            </w:r>
          </w:p>
        </w:tc>
      </w:tr>
    </w:tbl>
    <w:p/>
    <w:p>
      <w:pPr>
        <w:sectPr>
          <w:pgSz w:w="12240" w:h="15840"/>
          <w:pgMar w:top="936" w:right="1080" w:bottom="936" w:left="1080" w:header="720" w:footer="720" w:gutter="0"/>
          <w:cols w:space="720"/>
          <w:docGrid w:linePitch="360"/>
        </w:sectPr>
      </w:pPr>
    </w:p>
    <w:p>
      <w:pPr>
        <w:pStyle w:val="Heading1"/>
      </w:pPr>
      <w:r>
        <w:t>What The Results Mean</w:t>
      </w:r>
    </w:p>
    <w:p>
      <w:r>
        <w:t>Strengths: the engine is highly accurate for judge-like English product descriptions, short fragments, Hinglish, direct-code queries, and the known cement/concrete/aggregate categories. Latency is far below the 5-second target, with the post-fix 200-query average at 0.0296 seconds and p95 at 0.0561 seconds.</w:t>
      </w:r>
    </w:p>
    <w:p>
      <w:r>
        <w:t>Original weaknesses: before the alias layer, Spanish and French queries scored only 20% Hit Rate @3, and underspecified queries scored 55%. Those failures came from vocabulary mismatch rather than slow ranking or schema issues.</w:t>
      </w:r>
    </w:p>
    <w:p>
      <w:r>
        <w:t>Post-fix status: the same 200-query suite reached 100% Hit Rate @3 and 0.9942 MRR@5. Only two queries were not rank-1; both still placed the expected standard within top 3.</w:t>
      </w:r>
    </w:p>
    <w:p>
      <w:pPr>
        <w:pStyle w:val="Heading1"/>
      </w:pPr>
      <w:r>
        <w:t>Residual Risks</w:t>
      </w:r>
    </w:p>
    <w:p>
      <w:pPr>
        <w:pStyle w:val="ListBullet"/>
      </w:pPr>
      <w:r>
        <w:t>The 200-query robustness suite is synthetic and label-controlled; it is valuable for stress testing but does not replace the hidden private set.</w:t>
      </w:r>
    </w:p>
    <w:p>
      <w:pPr>
        <w:pStyle w:val="ListBullet"/>
      </w:pPr>
      <w:r>
        <w:t>The multilingual layer covers likely product phrases for the public target families, not every Indian language or every possible spelling.</w:t>
      </w:r>
    </w:p>
    <w:p>
      <w:pPr>
        <w:pStyle w:val="ListBullet"/>
      </w:pPr>
      <w:r>
        <w:t>Dense retrieval is currently disabled by default, so unrelated hidden products with low lexical overlap may still need broader semantic recall.</w:t>
      </w:r>
    </w:p>
    <w:p>
      <w:pPr>
        <w:pStyle w:val="ListBullet"/>
      </w:pPr>
      <w:r>
        <w:t>The report evaluates retrieval codes; if a demo adds natural-language rationales, those rationales should be checked for hallucinated standards.</w:t>
      </w:r>
    </w:p>
    <w:p>
      <w:pPr>
        <w:pStyle w:val="Heading1"/>
      </w:pPr>
      <w:r>
        <w:t>Recommendations Before Submission</w:t>
      </w:r>
    </w:p>
    <w:p>
      <w:pPr>
        <w:pStyle w:val="ListBullet"/>
      </w:pPr>
      <w:r>
        <w:t>Keep inference.py, eval_script.py, requirements.txt, and README command examples exactly judge-compatible.</w:t>
      </w:r>
    </w:p>
    <w:p>
      <w:pPr>
        <w:pStyle w:val="ListBullet"/>
      </w:pPr>
      <w:r>
        <w:t>Expand the multilingual alias table with more Indian-language transliterations for cement, steel, concrete, aggregate, pipe, roofing, masonry, and block terms.</w:t>
      </w:r>
    </w:p>
    <w:p>
      <w:pPr>
        <w:pStyle w:val="ListBullet"/>
      </w:pPr>
      <w:r>
        <w:t>Add a small no-hallucination guard in the demo/rationale path so every mentioned IS code must come from retrieved_standards.</w:t>
      </w:r>
    </w:p>
    <w:p>
      <w:pPr>
        <w:pStyle w:val="ListBullet"/>
      </w:pPr>
      <w:r>
        <w:t>Document the unique parser/chunking strategy clearly in the deck: PDF parsing to structured catalog, chunk_text enrichment, BM25/FAISS artifacts, RRF-ready design, deterministic boosts, and multilingual aliases.</w:t>
      </w:r>
    </w:p>
    <w:p>
      <w:pPr>
        <w:pStyle w:val="ListBullet"/>
      </w:pPr>
      <w:r>
        <w:t>Consider a final private-style smoke set with unseen building-material standards beyond the 10 public examples to reduce overfitting risk.</w:t>
      </w:r>
    </w:p>
    <w:p>
      <w:pPr>
        <w:pStyle w:val="Heading1"/>
      </w:pPr>
      <w:r>
        <w:t>Evidence Files</w:t>
      </w:r>
    </w:p>
    <w:tbl>
      <w:tblPr>
        <w:tblStyle w:val="LightShading-Accent1"/>
        <w:tblW w:type="auto" w:w="0"/>
        <w:tblLook w:firstColumn="1" w:firstRow="1" w:lastColumn="0" w:lastRow="0" w:noHBand="0" w:noVBand="1" w:val="04A0"/>
      </w:tblPr>
      <w:tblGrid>
        <w:gridCol w:w="5040"/>
        <w:gridCol w:w="5040"/>
      </w:tblGrid>
      <w:tr>
        <w:tc>
          <w:tcPr>
            <w:tcW w:type="dxa" w:w="5040"/>
          </w:tcPr>
          <w:p>
            <w:r/>
            <w:r>
              <w:rPr>
                <w:b/>
                <w:sz w:val="18"/>
              </w:rPr>
              <w:t>Path</w:t>
            </w:r>
          </w:p>
        </w:tc>
        <w:tc>
          <w:tcPr>
            <w:tcW w:type="dxa" w:w="5040"/>
          </w:tcPr>
          <w:p>
            <w:r/>
            <w:r>
              <w:rPr>
                <w:b/>
                <w:sz w:val="18"/>
              </w:rPr>
              <w:t>Purpose</w:t>
            </w:r>
          </w:p>
        </w:tc>
      </w:tr>
      <w:tr>
        <w:tc>
          <w:tcPr>
            <w:tcW w:type="dxa" w:w="5040"/>
          </w:tcPr>
          <w:p>
            <w:r/>
            <w:r>
              <w:rPr>
                <w:b w:val="0"/>
                <w:sz w:val="18"/>
              </w:rPr>
              <w:t>reports/evaluation/robustness_results.json</w:t>
            </w:r>
          </w:p>
        </w:tc>
        <w:tc>
          <w:tcPr>
            <w:tcW w:type="dxa" w:w="5040"/>
          </w:tcPr>
          <w:p>
            <w:r/>
            <w:r>
              <w:rPr>
                <w:b w:val="0"/>
                <w:sz w:val="18"/>
              </w:rPr>
              <w:t>Baseline 200-query output</w:t>
            </w:r>
          </w:p>
        </w:tc>
      </w:tr>
      <w:tr>
        <w:tc>
          <w:tcPr>
            <w:tcW w:type="dxa" w:w="5040"/>
          </w:tcPr>
          <w:p>
            <w:r/>
            <w:r>
              <w:rPr>
                <w:b w:val="0"/>
                <w:sz w:val="18"/>
              </w:rPr>
              <w:t>reports/evaluation/robustness_results.csv</w:t>
            </w:r>
          </w:p>
        </w:tc>
        <w:tc>
          <w:tcPr>
            <w:tcW w:type="dxa" w:w="5040"/>
          </w:tcPr>
          <w:p>
            <w:r/>
            <w:r>
              <w:rPr>
                <w:b w:val="0"/>
                <w:sz w:val="18"/>
              </w:rPr>
              <w:t>Baseline query-level CSV</w:t>
            </w:r>
          </w:p>
        </w:tc>
      </w:tr>
      <w:tr>
        <w:tc>
          <w:tcPr>
            <w:tcW w:type="dxa" w:w="5040"/>
          </w:tcPr>
          <w:p>
            <w:r/>
            <w:r>
              <w:rPr>
                <w:b w:val="0"/>
                <w:sz w:val="18"/>
              </w:rPr>
              <w:t>reports/evaluation_after_aliases/robustness_results.json</w:t>
            </w:r>
          </w:p>
        </w:tc>
        <w:tc>
          <w:tcPr>
            <w:tcW w:type="dxa" w:w="5040"/>
          </w:tcPr>
          <w:p>
            <w:r/>
            <w:r>
              <w:rPr>
                <w:b w:val="0"/>
                <w:sz w:val="18"/>
              </w:rPr>
              <w:t>Post-fix 200-query output</w:t>
            </w:r>
          </w:p>
        </w:tc>
      </w:tr>
      <w:tr>
        <w:tc>
          <w:tcPr>
            <w:tcW w:type="dxa" w:w="5040"/>
          </w:tcPr>
          <w:p>
            <w:r/>
            <w:r>
              <w:rPr>
                <w:b w:val="0"/>
                <w:sz w:val="18"/>
              </w:rPr>
              <w:t>reports/evaluation_after_aliases/robustness_results.csv</w:t>
            </w:r>
          </w:p>
        </w:tc>
        <w:tc>
          <w:tcPr>
            <w:tcW w:type="dxa" w:w="5040"/>
          </w:tcPr>
          <w:p>
            <w:r/>
            <w:r>
              <w:rPr>
                <w:b w:val="0"/>
                <w:sz w:val="18"/>
              </w:rPr>
              <w:t>Post-fix query-level CSV</w:t>
            </w:r>
          </w:p>
        </w:tc>
      </w:tr>
      <w:tr>
        <w:tc>
          <w:tcPr>
            <w:tcW w:type="dxa" w:w="5040"/>
          </w:tcPr>
          <w:p>
            <w:r/>
            <w:r>
              <w:rPr>
                <w:b w:val="0"/>
                <w:sz w:val="18"/>
              </w:rPr>
              <w:t>reports/evaluation_after_aliases/public_results.json</w:t>
            </w:r>
          </w:p>
        </w:tc>
        <w:tc>
          <w:tcPr>
            <w:tcW w:type="dxa" w:w="5040"/>
          </w:tcPr>
          <w:p>
            <w:r/>
            <w:r>
              <w:rPr>
                <w:b w:val="0"/>
                <w:sz w:val="18"/>
              </w:rPr>
              <w:t>Official public-set judge-format output</w:t>
            </w:r>
          </w:p>
        </w:tc>
      </w:tr>
      <w:tr>
        <w:tc>
          <w:tcPr>
            <w:tcW w:type="dxa" w:w="5040"/>
          </w:tcPr>
          <w:p>
            <w:r/>
            <w:r>
              <w:rPr>
                <w:b w:val="0"/>
                <w:sz w:val="18"/>
              </w:rPr>
              <w:t>scripts/robustness_evaluation.py</w:t>
            </w:r>
          </w:p>
        </w:tc>
        <w:tc>
          <w:tcPr>
            <w:tcW w:type="dxa" w:w="5040"/>
          </w:tcPr>
          <w:p>
            <w:r/>
            <w:r>
              <w:rPr>
                <w:b w:val="0"/>
                <w:sz w:val="18"/>
              </w:rPr>
              <w:t>Reproducible evaluation harness</w:t>
            </w:r>
          </w:p>
        </w:tc>
      </w:tr>
    </w:tbl>
    <w:p/>
    <w:p>
      <w:pPr>
        <w:pStyle w:val="Heading1"/>
      </w:pPr>
      <w:r>
        <w:t>External References Checked</w:t>
      </w:r>
    </w:p>
    <w:p>
      <w:pPr>
        <w:pStyle w:val="ListBullet"/>
      </w:pPr>
      <w:r>
        <w:t>Unstop hackathon page: https://unstop.com/hackathons/bureau-of-indian-standards-x-sigma-squad-ai-hackathon-indian-institute-of-technology-iit-tirupati-1679162/amp</w:t>
      </w:r>
    </w:p>
    <w:p>
      <w:pPr>
        <w:pStyle w:val="ListBullet"/>
      </w:pPr>
      <w:r>
        <w:t>Faiss repository: https://github.com/facebookresearch/faiss</w:t>
      </w:r>
    </w:p>
    <w:p>
      <w:pPr>
        <w:pStyle w:val="ListBullet"/>
      </w:pPr>
      <w:r>
        <w:t>BEIR benchmark paper: https://arxiv.org/abs/2104.08663</w:t>
      </w:r>
    </w:p>
    <w:p/>
    <w:p>
      <w:pPr>
        <w:jc w:val="center"/>
      </w:pPr>
      <w:r>
        <w:rPr>
          <w:b/>
        </w:rPr>
        <w:t>Conclusion: ready for public metrics; continue broadening multilingual coverage for hidden-set resilience.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