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12"/>
        <w:gridCol w:w="5112"/>
      </w:tblGrid>
      <w:tr>
        <w:tc>
          <w:tcPr>
            <w:tcW w:type="dxa" w:w="6912"/>
            <w:shd w:fill="0B1627"/>
            <w:vAlign w:val="center"/>
            <w:tcMar>
              <w:top w:w="100" w:type="dxa"/>
              <w:start w:w="140" w:type="dxa"/>
              <w:bottom w:w="100" w:type="dxa"/>
              <w:end w:w="140" w:type="dxa"/>
            </w:tcMar>
          </w:tcPr>
          <w:p>
            <w:pPr>
              <w:spacing w:after="0"/>
            </w:pPr>
            <w:r/>
            <w:r>
              <w:rPr>
                <w:rFonts w:ascii="Aptos Display" w:hAnsi="Aptos Display" w:eastAsia="Aptos Display"/>
                <w:b/>
                <w:color w:val="FFFFFF"/>
                <w:sz w:val="24"/>
              </w:rPr>
              <w:t>RETURNSHIELD AI</w:t>
            </w:r>
          </w:p>
        </w:tc>
        <w:tc>
          <w:tcPr>
            <w:tcW w:type="dxa" w:w="2880"/>
            <w:shd w:fill="00A6A6"/>
            <w:vAlign w:val="center"/>
            <w:tcMar>
              <w:top w:w="100" w:type="dxa"/>
              <w:start w:w="140" w:type="dxa"/>
              <w:bottom w:w="100" w:type="dxa"/>
              <w:end w:w="140" w:type="dxa"/>
            </w:tcMar>
          </w:tcPr>
          <w:p>
            <w:pPr>
              <w:spacing w:after="0"/>
              <w:jc w:val="right"/>
            </w:pPr>
            <w:r/>
            <w:r>
              <w:rPr>
                <w:rFonts w:ascii="Aptos" w:hAnsi="Aptos" w:eastAsia="Aptos"/>
                <w:b/>
                <w:color w:val="FFFFFF"/>
                <w:sz w:val="16"/>
              </w:rPr>
              <w:t>DESIGN BRIEF</w:t>
            </w:r>
          </w:p>
        </w:tc>
      </w:tr>
    </w:tbl>
    <w:p>
      <w:pPr>
        <w:spacing w:before="1400" w:after="200"/>
      </w:pPr>
      <w:r>
        <w:rPr>
          <w:rFonts w:ascii="Aptos Display" w:hAnsi="Aptos Display"/>
          <w:b/>
          <w:color w:val="0B1627"/>
          <w:sz w:val="62"/>
        </w:rPr>
        <w:t>Dashboard Design Specification</w:t>
      </w:r>
    </w:p>
    <w:p>
      <w:pPr>
        <w:spacing w:after="360"/>
      </w:pPr>
      <w:r>
        <w:rPr>
          <w:color w:val="516174"/>
          <w:sz w:val="30"/>
        </w:rPr>
        <w:t>How the ReturnShield AI command center should look, work, and guide action.</w:t>
      </w:r>
    </w:p>
    <w:tbl>
      <w:tblPr>
        <w:tblW w:type="auto" w:w="0"/>
        <w:tblLook w:firstColumn="1" w:firstRow="1" w:lastColumn="0" w:lastRow="0" w:noHBand="0" w:noVBand="1" w:val="04A0"/>
      </w:tblPr>
      <w:tblGrid>
        <w:gridCol w:w="10224"/>
      </w:tblGrid>
      <w:tr>
        <w:tc>
          <w:tcPr>
            <w:tcW w:type="dxa" w:w="10224"/>
            <w:shd w:fill="EFF4F7"/>
            <w:vAlign w:val="center"/>
            <w:tcMar>
              <w:top w:w="100" w:type="dxa"/>
              <w:start w:w="140" w:type="dxa"/>
              <w:bottom w:w="100" w:type="dxa"/>
              <w:end w:w="140" w:type="dxa"/>
            </w:tcMar>
          </w:tcPr>
          <w:p>
            <w:pPr>
              <w:spacing w:after="0"/>
            </w:pPr>
            <w:r/>
            <w:r>
              <w:rPr>
                <w:rFonts w:ascii="Aptos Display" w:hAnsi="Aptos Display" w:eastAsia="Aptos Display"/>
                <w:b/>
                <w:color w:val="0B1627"/>
                <w:sz w:val="22"/>
              </w:rPr>
              <w:t>ReturnShield AI converts predicted returns into measurable, preventive business decisions before a shipment becomes a loss.</w:t>
            </w:r>
          </w:p>
        </w:tc>
      </w:tr>
    </w:tbl>
    <w:p>
      <w:pPr>
        <w:spacing w:before="1300"/>
      </w:pPr>
      <w:r>
        <w:rPr>
          <w:color w:val="516174"/>
          <w:sz w:val="18"/>
        </w:rPr>
        <w:t>Prepared for product design and implementation</w:t>
        <w:br/>
        <w:t>July 2026</w:t>
      </w:r>
    </w:p>
    <w:p>
      <w:r>
        <w:br w:type="page"/>
      </w:r>
    </w:p>
    <w:p>
      <w:pPr>
        <w:pStyle w:val="Heading1"/>
      </w:pPr>
      <w:r>
        <w:t>1. Design intent</w:t>
      </w:r>
    </w:p>
    <w:p>
      <w:r>
        <w:t>Audience: e-commerce operations managers, fraud analysts, and category leads. Single job: reveal where revenue is exposed, explain the drivers, and make the next action immediate.</w:t>
      </w:r>
    </w:p>
    <w:p>
      <w:r>
        <w:t>Visual direction: Revenue Protection Control Room. Deep navy is the decision surface; cool mist holds dense analysis; teal signals productive action. Amber and red are reserved for risk severity only.</w:t>
      </w:r>
    </w:p>
    <w:tbl>
      <w:tblPr>
        <w:tblW w:type="auto" w:w="0"/>
        <w:jc w:val="center"/>
        <w:tblLayout w:type="fixed"/>
        <w:tblLook w:firstColumn="1" w:firstRow="1" w:lastColumn="0" w:lastRow="0" w:noHBand="0" w:noVBand="1" w:val="04A0"/>
      </w:tblPr>
      <w:tblGrid>
        <w:gridCol w:w="5112"/>
        <w:gridCol w:w="5112"/>
      </w:tblGrid>
      <w:tr>
        <w:tc>
          <w:tcPr>
            <w:tcW w:type="dxa" w:w="259"/>
            <w:shd w:fill="00A6A6"/>
          </w:tcPr>
          <w:p/>
        </w:tc>
        <w:tc>
          <w:tcPr>
            <w:tcW w:type="dxa" w:w="9533"/>
            <w:shd w:fill="EFF4F7"/>
            <w:tcMar>
              <w:top w:w="130" w:type="dxa"/>
              <w:start w:w="180" w:type="dxa"/>
              <w:bottom w:w="130" w:type="dxa"/>
              <w:end w:w="180" w:type="dxa"/>
            </w:tcMar>
          </w:tcPr>
          <w:p>
            <w:pPr>
              <w:spacing w:after="20"/>
            </w:pPr>
            <w:r/>
            <w:r>
              <w:rPr>
                <w:rFonts w:ascii="Aptos Display" w:hAnsi="Aptos Display"/>
                <w:b/>
                <w:color w:val="0B1627"/>
                <w:sz w:val="19"/>
              </w:rPr>
              <w:t xml:space="preserve">Signature element  </w:t>
            </w:r>
            <w:r>
              <w:rPr>
                <w:color w:val="172033"/>
                <w:sz w:val="18"/>
              </w:rPr>
              <w:t>A Loss at Risk ribbon flows from portfolio exposure to a specific order and its recommended intervention. Users can follow one continuous visual path from total impact to a decision.</w:t>
            </w:r>
          </w:p>
        </w:tc>
      </w:tr>
    </w:tbl>
    <w:p>
      <w:pPr>
        <w:spacing w:after="20"/>
      </w:pP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00"/>
            <w:shd w:fill="0B1627"/>
            <w:vAlign w:val="center"/>
            <w:tcMar>
              <w:top w:w="100" w:type="dxa"/>
              <w:start w:w="140" w:type="dxa"/>
              <w:bottom w:w="100" w:type="dxa"/>
              <w:end w:w="140" w:type="dxa"/>
            </w:tcMar>
          </w:tcPr>
          <w:p>
            <w:pPr>
              <w:spacing w:after="0"/>
            </w:pPr>
            <w:r/>
            <w:r>
              <w:rPr>
                <w:rFonts w:ascii="Aptos" w:hAnsi="Aptos" w:eastAsia="Aptos"/>
                <w:b/>
                <w:color w:val="FFFFFF"/>
                <w:sz w:val="16"/>
              </w:rPr>
              <w:t>Design token</w:t>
            </w:r>
          </w:p>
        </w:tc>
        <w:tc>
          <w:tcPr>
            <w:tcW w:type="dxa" w:w="3744"/>
            <w:shd w:fill="0B1627"/>
            <w:vAlign w:val="center"/>
            <w:tcMar>
              <w:top w:w="100" w:type="dxa"/>
              <w:start w:w="140" w:type="dxa"/>
              <w:bottom w:w="100" w:type="dxa"/>
              <w:end w:w="140" w:type="dxa"/>
            </w:tcMar>
          </w:tcPr>
          <w:p>
            <w:pPr>
              <w:spacing w:after="0"/>
            </w:pPr>
            <w:r/>
            <w:r>
              <w:rPr>
                <w:rFonts w:ascii="Aptos" w:hAnsi="Aptos" w:eastAsia="Aptos"/>
                <w:b/>
                <w:color w:val="FFFFFF"/>
                <w:sz w:val="16"/>
              </w:rPr>
              <w:t>Specification</w:t>
            </w:r>
          </w:p>
        </w:tc>
        <w:tc>
          <w:tcPr>
            <w:tcW w:type="dxa" w:w="4320"/>
            <w:shd w:fill="0B1627"/>
            <w:vAlign w:val="center"/>
            <w:tcMar>
              <w:top w:w="100" w:type="dxa"/>
              <w:start w:w="140" w:type="dxa"/>
              <w:bottom w:w="100" w:type="dxa"/>
              <w:end w:w="140" w:type="dxa"/>
            </w:tcMar>
          </w:tcPr>
          <w:p>
            <w:pPr>
              <w:spacing w:after="0"/>
            </w:pPr>
            <w:r/>
            <w:r>
              <w:rPr>
                <w:rFonts w:ascii="Aptos" w:hAnsi="Aptos" w:eastAsia="Aptos"/>
                <w:b/>
                <w:color w:val="FFFFFF"/>
                <w:sz w:val="16"/>
              </w:rPr>
              <w:t>Why it matters</w:t>
            </w:r>
          </w:p>
        </w:tc>
      </w:tr>
      <w:tr>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Display / body</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Sora or Geist / Manrope; tabular numerals for scores and money.</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Premium, legible operational analysis.</w:t>
            </w:r>
          </w:p>
        </w:tc>
      </w:tr>
      <w:tr>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Core colors</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Navy #0B1627, mist #EFF4F7, teal #00A6A6, amber #F59E0B, red #E05252.</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Color carries meaning, not decoration.</w:t>
            </w:r>
          </w:p>
        </w:tc>
      </w:tr>
      <w:tr>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Spacing</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8 px base; 16 px card gaps; 24-32 px panel padding.</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Dense without feeling like a spreadsheet.</w:t>
            </w:r>
          </w:p>
        </w:tc>
      </w:tr>
      <w:tr>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Cards</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Nested frame, 20-24 px radius, blue-grey hairline separators.</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Calm depth without generic card clutter.</w:t>
            </w:r>
          </w:p>
        </w:tc>
      </w:tr>
      <w:tr>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Motion</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200-350 ms custom cubic-bezier; transform and opacity only.</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Measured feedback for time-sensitive triage.</w:t>
            </w:r>
          </w:p>
        </w:tc>
      </w:tr>
    </w:tbl>
    <w:p>
      <w:pPr>
        <w:spacing w:after="20"/>
      </w:pPr>
    </w:p>
    <w:p>
      <w:pPr>
        <w:pStyle w:val="Heading1"/>
      </w:pPr>
      <w:r>
        <w:t>2. Information architecture</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045"/>
            <w:shd w:fill="0B1627"/>
            <w:vAlign w:val="center"/>
            <w:tcMar>
              <w:top w:w="100" w:type="dxa"/>
              <w:start w:w="140" w:type="dxa"/>
              <w:bottom w:w="100" w:type="dxa"/>
              <w:end w:w="140" w:type="dxa"/>
            </w:tcMar>
          </w:tcPr>
          <w:p>
            <w:pPr>
              <w:spacing w:after="0"/>
            </w:pPr>
            <w:r/>
            <w:r>
              <w:rPr>
                <w:rFonts w:ascii="Aptos" w:hAnsi="Aptos" w:eastAsia="Aptos"/>
                <w:b/>
                <w:color w:val="FFFFFF"/>
                <w:sz w:val="16"/>
              </w:rPr>
              <w:t>Primary navigation</w:t>
            </w:r>
          </w:p>
        </w:tc>
        <w:tc>
          <w:tcPr>
            <w:tcW w:type="dxa" w:w="5256"/>
            <w:shd w:fill="0B1627"/>
            <w:vAlign w:val="center"/>
            <w:tcMar>
              <w:top w:w="100" w:type="dxa"/>
              <w:start w:w="140" w:type="dxa"/>
              <w:bottom w:w="100" w:type="dxa"/>
              <w:end w:w="140" w:type="dxa"/>
            </w:tcMar>
          </w:tcPr>
          <w:p>
            <w:pPr>
              <w:spacing w:after="0"/>
            </w:pPr>
            <w:r/>
            <w:r>
              <w:rPr>
                <w:rFonts w:ascii="Aptos" w:hAnsi="Aptos" w:eastAsia="Aptos"/>
                <w:b/>
                <w:color w:val="FFFFFF"/>
                <w:sz w:val="16"/>
              </w:rPr>
              <w:t>Purpose</w:t>
            </w:r>
          </w:p>
        </w:tc>
        <w:tc>
          <w:tcPr>
            <w:tcW w:type="dxa" w:w="2563"/>
            <w:shd w:fill="0B1627"/>
            <w:vAlign w:val="center"/>
            <w:tcMar>
              <w:top w:w="100" w:type="dxa"/>
              <w:start w:w="140" w:type="dxa"/>
              <w:bottom w:w="100" w:type="dxa"/>
              <w:end w:w="140" w:type="dxa"/>
            </w:tcMar>
          </w:tcPr>
          <w:p>
            <w:pPr>
              <w:spacing w:after="0"/>
            </w:pPr>
            <w:r/>
            <w:r>
              <w:rPr>
                <w:rFonts w:ascii="Aptos" w:hAnsi="Aptos" w:eastAsia="Aptos"/>
                <w:b/>
                <w:color w:val="FFFFFF"/>
                <w:sz w:val="16"/>
              </w:rPr>
              <w:t>Default audience</w:t>
            </w:r>
          </w:p>
        </w:tc>
      </w:tr>
      <w:tr>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Overview</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Portfolio exposure, urgent alerts, and trends. Landing screen.</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Manager, analyst</w:t>
            </w:r>
          </w:p>
        </w:tc>
      </w:tr>
      <w:tr>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Risk Queue</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Sortable worklist of high-risk orders and bulk intervention tools.</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Analyst</w:t>
            </w:r>
          </w:p>
        </w:tc>
      </w:tr>
      <w:tr>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Order Intelligence</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Order-level prediction, loss, explanation, recommendation, and decision history.</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Analyst, manager</w:t>
            </w:r>
          </w:p>
        </w:tc>
      </w:tr>
      <w:tr>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Analytics</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Category, seller, geography, customer cohort, and policy performance.</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Manager, category lead</w:t>
            </w:r>
          </w:p>
        </w:tc>
      </w:tr>
      <w:tr>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Policies &amp; Playbooks</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Approved interventions, thresholds, owners, and outcome rules.</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Admin, manager</w:t>
            </w:r>
          </w:p>
        </w:tc>
      </w:tr>
      <w:tr>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Model Health</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Score coverage, calibration, drift, missing data, and feedback loop.</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Admin, data team</w:t>
            </w:r>
          </w:p>
        </w:tc>
      </w:tr>
    </w:tbl>
    <w:p>
      <w:pPr>
        <w:spacing w:after="20"/>
      </w:pPr>
    </w:p>
    <w:p>
      <w:pPr>
        <w:pStyle w:val="Heading1"/>
      </w:pPr>
      <w:r>
        <w:t>3. Overview dashboard - desktop placement</w:t>
      </w:r>
    </w:p>
    <w:p>
      <w:r>
        <w:t>Canvas: 1440 px. A persistent 248 px left rail serves navigation. Main content uses a 12-column grid with 24 px gutters; the top bar remains visible while content scrolls.</w:t>
      </w:r>
    </w:p>
    <w:tbl>
      <w:tblPr>
        <w:tblW w:type="auto" w:w="0"/>
        <w:tblLook w:firstColumn="1" w:firstRow="1" w:lastColumn="0" w:lastRow="0" w:noHBand="0" w:noVBand="1" w:val="04A0"/>
      </w:tblPr>
      <w:tblGrid>
        <w:gridCol w:w="10224"/>
      </w:tblGrid>
      <w:tr>
        <w:tc>
          <w:tcPr>
            <w:tcW w:type="dxa" w:w="10224"/>
            <w:shd w:fill="F2F6F8"/>
            <w:tcMar>
              <w:top w:w="120" w:type="dxa"/>
              <w:start w:w="160" w:type="dxa"/>
              <w:bottom w:w="120" w:type="dxa"/>
              <w:end w:w="160" w:type="dxa"/>
            </w:tcMar>
          </w:tcPr>
          <w:p>
            <w:pPr>
              <w:spacing w:after="0"/>
            </w:pPr>
            <w:r/>
            <w:r>
              <w:rPr>
                <w:rFonts w:ascii="Aptos Mono" w:hAnsi="Aptos Mono" w:eastAsia="Aptos Mono"/>
                <w:color w:val="172033"/>
                <w:sz w:val="14"/>
              </w:rPr>
              <w:t>+--------------------------------------------------------------------------+</w:t>
            </w:r>
          </w:p>
          <w:p>
            <w:pPr>
              <w:spacing w:after="0"/>
            </w:pPr>
            <w:r>
              <w:rPr>
                <w:rFonts w:ascii="Aptos Mono" w:hAnsi="Aptos Mono" w:eastAsia="Aptos Mono"/>
                <w:color w:val="172033"/>
                <w:sz w:val="14"/>
              </w:rPr>
              <w:t>| Header: logo | search | store | date range | alerts | profile            |</w:t>
            </w:r>
          </w:p>
          <w:p>
            <w:pPr>
              <w:spacing w:after="0"/>
            </w:pPr>
            <w:r>
              <w:rPr>
                <w:rFonts w:ascii="Aptos Mono" w:hAnsi="Aptos Mono" w:eastAsia="Aptos Mono"/>
                <w:color w:val="172033"/>
                <w:sz w:val="14"/>
              </w:rPr>
              <w:t>+------------+-------------------------------------------------------------+</w:t>
            </w:r>
          </w:p>
          <w:p>
            <w:pPr>
              <w:spacing w:after="0"/>
            </w:pPr>
            <w:r>
              <w:rPr>
                <w:rFonts w:ascii="Aptos Mono" w:hAnsi="Aptos Mono" w:eastAsia="Aptos Mono"/>
                <w:color w:val="172033"/>
                <w:sz w:val="14"/>
              </w:rPr>
              <w:t>| Side rail  | Portfolio exposure                         [Export] [Sync] |</w:t>
            </w:r>
          </w:p>
          <w:p>
            <w:pPr>
              <w:spacing w:after="0"/>
            </w:pPr>
            <w:r>
              <w:rPr>
                <w:rFonts w:ascii="Aptos Mono" w:hAnsi="Aptos Mono" w:eastAsia="Aptos Mono"/>
                <w:color w:val="172033"/>
                <w:sz w:val="14"/>
              </w:rPr>
              <w:t>| Overview   +-------------------------------------------------------------+</w:t>
            </w:r>
          </w:p>
          <w:p>
            <w:pPr>
              <w:spacing w:after="0"/>
            </w:pPr>
            <w:r>
              <w:rPr>
                <w:rFonts w:ascii="Aptos Mono" w:hAnsi="Aptos Mono" w:eastAsia="Aptos Mono"/>
                <w:color w:val="172033"/>
                <w:sz w:val="14"/>
              </w:rPr>
              <w:t>| Risk Queue | At-risk INR | high risk | return rate | prevented loss      |</w:t>
            </w:r>
          </w:p>
          <w:p>
            <w:pPr>
              <w:spacing w:after="0"/>
            </w:pPr>
            <w:r>
              <w:rPr>
                <w:rFonts w:ascii="Aptos Mono" w:hAnsi="Aptos Mono" w:eastAsia="Aptos Mono"/>
                <w:color w:val="172033"/>
                <w:sz w:val="14"/>
              </w:rPr>
              <w:t>| Orders     +-----------------------------------------+-------------------+</w:t>
            </w:r>
          </w:p>
          <w:p>
            <w:pPr>
              <w:spacing w:after="0"/>
            </w:pPr>
            <w:r>
              <w:rPr>
                <w:rFonts w:ascii="Aptos Mono" w:hAnsi="Aptos Mono" w:eastAsia="Aptos Mono"/>
                <w:color w:val="172033"/>
                <w:sz w:val="14"/>
              </w:rPr>
              <w:t>| Analytics  | Loss-at-risk trend and forecast (8 col) | Top actions (4)   |</w:t>
            </w:r>
          </w:p>
          <w:p>
            <w:pPr>
              <w:spacing w:after="0"/>
            </w:pPr>
            <w:r>
              <w:rPr>
                <w:rFonts w:ascii="Aptos Mono" w:hAnsi="Aptos Mono" w:eastAsia="Aptos Mono"/>
                <w:color w:val="172033"/>
                <w:sz w:val="14"/>
              </w:rPr>
              <w:t>| Policies   +-----------------------------------------+-------------------+</w:t>
            </w:r>
          </w:p>
          <w:p>
            <w:pPr>
              <w:spacing w:after="0"/>
            </w:pPr>
            <w:r>
              <w:rPr>
                <w:rFonts w:ascii="Aptos Mono" w:hAnsi="Aptos Mono" w:eastAsia="Aptos Mono"/>
                <w:color w:val="172033"/>
                <w:sz w:val="14"/>
              </w:rPr>
              <w:t>| Model      | Priority risk queue (8 col)             | Category / region |</w:t>
            </w:r>
          </w:p>
          <w:p>
            <w:pPr>
              <w:spacing w:after="0"/>
            </w:pPr>
            <w:r>
              <w:rPr>
                <w:rFonts w:ascii="Aptos Mono" w:hAnsi="Aptos Mono" w:eastAsia="Aptos Mono"/>
                <w:color w:val="172033"/>
                <w:sz w:val="14"/>
              </w:rPr>
              <w:t>|            +-------------------------+---------------+ exposure (4 col)  |</w:t>
            </w:r>
          </w:p>
          <w:p>
            <w:pPr>
              <w:spacing w:after="0"/>
            </w:pPr>
            <w:r>
              <w:rPr>
                <w:rFonts w:ascii="Aptos Mono" w:hAnsi="Aptos Mono" w:eastAsia="Aptos Mono"/>
                <w:color w:val="172033"/>
                <w:sz w:val="14"/>
              </w:rPr>
              <w:t>|            | Why returns happen (6)  | Policy impact (6)                 |</w:t>
            </w:r>
          </w:p>
          <w:p>
            <w:pPr>
              <w:spacing w:after="0"/>
            </w:pPr>
            <w:r>
              <w:rPr>
                <w:rFonts w:ascii="Aptos Mono" w:hAnsi="Aptos Mono" w:eastAsia="Aptos Mono"/>
                <w:color w:val="172033"/>
                <w:sz w:val="14"/>
              </w:rPr>
              <w:t>+------------+-------------------------------------------------------------+</w:t>
            </w:r>
          </w:p>
        </w:tc>
      </w:tr>
    </w:tbl>
    <w:p>
      <w:pPr>
        <w:spacing w:after="20"/>
      </w:pP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00"/>
            <w:shd w:fill="0B1627"/>
            <w:vAlign w:val="center"/>
            <w:tcMar>
              <w:top w:w="100" w:type="dxa"/>
              <w:start w:w="140" w:type="dxa"/>
              <w:bottom w:w="100" w:type="dxa"/>
              <w:end w:w="140" w:type="dxa"/>
            </w:tcMar>
          </w:tcPr>
          <w:p>
            <w:pPr>
              <w:spacing w:after="0"/>
            </w:pPr>
            <w:r/>
            <w:r>
              <w:rPr>
                <w:rFonts w:ascii="Aptos" w:hAnsi="Aptos" w:eastAsia="Aptos"/>
                <w:b/>
                <w:color w:val="FFFFFF"/>
                <w:sz w:val="16"/>
              </w:rPr>
              <w:t>Zone</w:t>
            </w:r>
          </w:p>
        </w:tc>
        <w:tc>
          <w:tcPr>
            <w:tcW w:type="dxa" w:w="2232"/>
            <w:shd w:fill="0B1627"/>
            <w:vAlign w:val="center"/>
            <w:tcMar>
              <w:top w:w="100" w:type="dxa"/>
              <w:start w:w="140" w:type="dxa"/>
              <w:bottom w:w="100" w:type="dxa"/>
              <w:end w:w="140" w:type="dxa"/>
            </w:tcMar>
          </w:tcPr>
          <w:p>
            <w:pPr>
              <w:spacing w:after="0"/>
            </w:pPr>
            <w:r/>
            <w:r>
              <w:rPr>
                <w:rFonts w:ascii="Aptos" w:hAnsi="Aptos" w:eastAsia="Aptos"/>
                <w:b/>
                <w:color w:val="FFFFFF"/>
                <w:sz w:val="16"/>
              </w:rPr>
              <w:t>Placement</w:t>
            </w:r>
          </w:p>
        </w:tc>
        <w:tc>
          <w:tcPr>
            <w:tcW w:type="dxa" w:w="5832"/>
            <w:shd w:fill="0B1627"/>
            <w:vAlign w:val="center"/>
            <w:tcMar>
              <w:top w:w="100" w:type="dxa"/>
              <w:start w:w="140" w:type="dxa"/>
              <w:bottom w:w="100" w:type="dxa"/>
              <w:end w:w="140" w:type="dxa"/>
            </w:tcMar>
          </w:tcPr>
          <w:p>
            <w:pPr>
              <w:spacing w:after="0"/>
            </w:pPr>
            <w:r/>
            <w:r>
              <w:rPr>
                <w:rFonts w:ascii="Aptos" w:hAnsi="Aptos" w:eastAsia="Aptos"/>
                <w:b/>
                <w:color w:val="FFFFFF"/>
                <w:sz w:val="16"/>
              </w:rPr>
              <w:t>Content and behaviour</w:t>
            </w:r>
          </w:p>
        </w:tc>
      </w:tr>
      <w:tr>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Top bar</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Full width, 64 px</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Order/customer search; store and date filters; freshness; notifications; profile.</w:t>
            </w:r>
          </w:p>
        </w:tc>
      </w:tr>
      <w:tr>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Left rail</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Fixed left, 248 px</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Primary navigation and compact urgent-order status. Collapses to icons below 1200 px.</w:t>
            </w:r>
          </w:p>
        </w:tc>
      </w:tr>
      <w:tr>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Command header</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Main content row 1</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Page title, updated time, export and permitted manual model sync.</w:t>
            </w:r>
          </w:p>
        </w:tc>
      </w:tr>
      <w:tr>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KPI row</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Full 12 columns</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Revenue at risk, high-risk orders, return rate, loss prevented. Each opens filtered detail.</w:t>
            </w:r>
          </w:p>
        </w:tc>
      </w:tr>
      <w:tr>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Decision band</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8 / 4 split</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Loss trend with confidence interval; top action-now stack with expected saved INR.</w:t>
            </w:r>
          </w:p>
        </w:tc>
      </w:tr>
      <w:tr>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Work queue</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8 / 4 split</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Priority order table; category and region loss exposure.</w:t>
            </w:r>
          </w:p>
        </w:tc>
      </w:tr>
      <w:tr>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Learning band</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6 / 6 split</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Plain-language return drivers; intervention effectiveness and policy performance.</w:t>
            </w:r>
          </w:p>
        </w:tc>
      </w:tr>
    </w:tbl>
    <w:p>
      <w:pPr>
        <w:spacing w:after="20"/>
      </w:pPr>
    </w:p>
    <w:p>
      <w:pPr>
        <w:pStyle w:val="Heading1"/>
      </w:pPr>
      <w:r>
        <w:t>4. Overview content specification</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088"/>
            <w:shd w:fill="0B1627"/>
            <w:vAlign w:val="center"/>
            <w:tcMar>
              <w:top w:w="100" w:type="dxa"/>
              <w:start w:w="140" w:type="dxa"/>
              <w:bottom w:w="100" w:type="dxa"/>
              <w:end w:w="140" w:type="dxa"/>
            </w:tcMar>
          </w:tcPr>
          <w:p>
            <w:pPr>
              <w:spacing w:after="0"/>
            </w:pPr>
            <w:r/>
            <w:r>
              <w:rPr>
                <w:rFonts w:ascii="Aptos" w:hAnsi="Aptos" w:eastAsia="Aptos"/>
                <w:b/>
                <w:color w:val="FFFFFF"/>
                <w:sz w:val="16"/>
              </w:rPr>
              <w:t>Component</w:t>
            </w:r>
          </w:p>
        </w:tc>
        <w:tc>
          <w:tcPr>
            <w:tcW w:type="dxa" w:w="4824"/>
            <w:shd w:fill="0B1627"/>
            <w:vAlign w:val="center"/>
            <w:tcMar>
              <w:top w:w="100" w:type="dxa"/>
              <w:start w:w="140" w:type="dxa"/>
              <w:bottom w:w="100" w:type="dxa"/>
              <w:end w:w="140" w:type="dxa"/>
            </w:tcMar>
          </w:tcPr>
          <w:p>
            <w:pPr>
              <w:spacing w:after="0"/>
            </w:pPr>
            <w:r/>
            <w:r>
              <w:rPr>
                <w:rFonts w:ascii="Aptos" w:hAnsi="Aptos" w:eastAsia="Aptos"/>
                <w:b/>
                <w:color w:val="FFFFFF"/>
                <w:sz w:val="16"/>
              </w:rPr>
              <w:t>Required content</w:t>
            </w:r>
          </w:p>
        </w:tc>
        <w:tc>
          <w:tcPr>
            <w:tcW w:type="dxa" w:w="2952"/>
            <w:shd w:fill="0B1627"/>
            <w:vAlign w:val="center"/>
            <w:tcMar>
              <w:top w:w="100" w:type="dxa"/>
              <w:start w:w="140" w:type="dxa"/>
              <w:bottom w:w="100" w:type="dxa"/>
              <w:end w:w="140" w:type="dxa"/>
            </w:tcMar>
          </w:tcPr>
          <w:p>
            <w:pPr>
              <w:spacing w:after="0"/>
            </w:pPr>
            <w:r/>
            <w:r>
              <w:rPr>
                <w:rFonts w:ascii="Aptos" w:hAnsi="Aptos" w:eastAsia="Aptos"/>
                <w:b/>
                <w:color w:val="FFFFFF"/>
                <w:sz w:val="16"/>
              </w:rPr>
              <w:t>Interaction</w:t>
            </w:r>
          </w:p>
        </w:tc>
      </w:tr>
      <w:tr>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Revenue at risk</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INR total, period change, exposed-order count.</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Opens Risk Queue scoped to the period.</w:t>
            </w:r>
          </w:p>
        </w:tc>
      </w:tr>
      <w:tr>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Loss trend</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Daily predicted loss, confirmed loss, forecast band, event annotations.</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Hover values; date brush updates every module.</w:t>
            </w:r>
          </w:p>
        </w:tc>
      </w:tr>
      <w:tr>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Top actions now</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Three highest-value actions, saved amount, owner, SLA.</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Open filtered queue; assign, acknowledge, or snooze.</w:t>
            </w:r>
          </w:p>
        </w:tc>
      </w:tr>
      <w:tr>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Priority risk queue</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Order, score, potential loss, reason, action, status, SLA.</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Sort, filter, multi-select, export, open detail.</w:t>
            </w:r>
          </w:p>
        </w:tc>
      </w:tr>
      <w:tr>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Category / region</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Loss at risk and return rate, not volume alone.</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Toggle dimension; click cross-filters queue.</w:t>
            </w:r>
          </w:p>
        </w:tc>
      </w:tr>
      <w:tr>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Why returns happen</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Ranked explanation drivers by affected high-risk orders.</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Select cohort, category, seller, or date range.</w:t>
            </w:r>
          </w:p>
        </w:tc>
      </w:tr>
      <w:tr>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Policy impact</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Adoption, prevented-loss estimate, confidence, unintended outcomes.</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Open policy detail or compare two policies.</w:t>
            </w:r>
          </w:p>
        </w:tc>
      </w:tr>
    </w:tbl>
    <w:p>
      <w:pPr>
        <w:spacing w:after="20"/>
      </w:pPr>
    </w:p>
    <w:p>
      <w:pPr>
        <w:pStyle w:val="Heading1"/>
      </w:pPr>
      <w:r>
        <w:t>5. Risk Queue and Order Intelligence</w:t>
      </w:r>
    </w:p>
    <w:p>
      <w:r>
        <w:t>The Risk Queue is a focused workbench, not a generic data table. Default sort: Expected Financial Loss descending, then delivery deadline ascending.</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944"/>
            <w:shd w:fill="0B1627"/>
            <w:vAlign w:val="center"/>
            <w:tcMar>
              <w:top w:w="100" w:type="dxa"/>
              <w:start w:w="140" w:type="dxa"/>
              <w:bottom w:w="100" w:type="dxa"/>
              <w:end w:w="140" w:type="dxa"/>
            </w:tcMar>
          </w:tcPr>
          <w:p>
            <w:pPr>
              <w:spacing w:after="0"/>
            </w:pPr>
            <w:r/>
            <w:r>
              <w:rPr>
                <w:rFonts w:ascii="Aptos" w:hAnsi="Aptos" w:eastAsia="Aptos"/>
                <w:b/>
                <w:color w:val="FFFFFF"/>
                <w:sz w:val="16"/>
              </w:rPr>
              <w:t>Queue column</w:t>
            </w:r>
          </w:p>
        </w:tc>
        <w:tc>
          <w:tcPr>
            <w:tcW w:type="dxa" w:w="5256"/>
            <w:shd w:fill="0B1627"/>
            <w:vAlign w:val="center"/>
            <w:tcMar>
              <w:top w:w="100" w:type="dxa"/>
              <w:start w:w="140" w:type="dxa"/>
              <w:bottom w:w="100" w:type="dxa"/>
              <w:end w:w="140" w:type="dxa"/>
            </w:tcMar>
          </w:tcPr>
          <w:p>
            <w:pPr>
              <w:spacing w:after="0"/>
            </w:pPr>
            <w:r/>
            <w:r>
              <w:rPr>
                <w:rFonts w:ascii="Aptos" w:hAnsi="Aptos" w:eastAsia="Aptos"/>
                <w:b/>
                <w:color w:val="FFFFFF"/>
                <w:sz w:val="16"/>
              </w:rPr>
              <w:t>Display rule</w:t>
            </w:r>
          </w:p>
        </w:tc>
        <w:tc>
          <w:tcPr>
            <w:tcW w:type="dxa" w:w="2664"/>
            <w:shd w:fill="0B1627"/>
            <w:vAlign w:val="center"/>
            <w:tcMar>
              <w:top w:w="100" w:type="dxa"/>
              <w:start w:w="140" w:type="dxa"/>
              <w:bottom w:w="100" w:type="dxa"/>
              <w:end w:w="140" w:type="dxa"/>
            </w:tcMar>
          </w:tcPr>
          <w:p>
            <w:pPr>
              <w:spacing w:after="0"/>
            </w:pPr>
            <w:r/>
            <w:r>
              <w:rPr>
                <w:rFonts w:ascii="Aptos" w:hAnsi="Aptos" w:eastAsia="Aptos"/>
                <w:b/>
                <w:color w:val="FFFFFF"/>
                <w:sz w:val="16"/>
              </w:rPr>
              <w:t>Action</w:t>
            </w:r>
          </w:p>
        </w:tc>
      </w:tr>
      <w:tr>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Priority</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P0/P1/P2 uses risk, loss, and delivery cutoff; never color alone.</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Filter by priority and SLA breach.</w:t>
            </w:r>
          </w:p>
        </w:tc>
      </w:tr>
      <w:tr>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Order</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Order ID, product thumbnail, category, promised delivery.</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Open detail drawer.</w:t>
            </w:r>
          </w:p>
        </w:tc>
      </w:tr>
      <w:tr>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Return risk</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0-100 score plus Low, Watch, High, or Critical.</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Hover model version and confidence.</w:t>
            </w:r>
          </w:p>
        </w:tc>
      </w:tr>
      <w:tr>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Potential loss</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Refund, reverse logistics, and unrecoverable handling cost.</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Sort descending.</w:t>
            </w:r>
          </w:p>
        </w:tc>
      </w:tr>
      <w:tr>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Top drivers</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At most three plain-language chips, e.g. 3 returns in 90 days.</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Open full explanation.</w:t>
            </w:r>
          </w:p>
        </w:tc>
      </w:tr>
      <w:tr>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Action</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Approved action and expected avoided loss; policy guardrail if constrained.</w:t>
            </w:r>
          </w:p>
        </w:tc>
        <w:tc>
          <w:tcPr>
            <w:tcW w:type="dxa" w:w="3408"/>
            <w:shd w:fill="F7FAFC"/>
            <w:vAlign w:val="center"/>
            <w:tcMar>
              <w:top w:w="100" w:type="dxa"/>
              <w:start w:w="140" w:type="dxa"/>
              <w:bottom w:w="100" w:type="dxa"/>
              <w:end w:w="140" w:type="dxa"/>
            </w:tcMar>
          </w:tcPr>
          <w:p>
            <w:pPr>
              <w:spacing w:after="0"/>
            </w:pPr>
            <w:r/>
            <w:r>
              <w:rPr>
                <w:rFonts w:ascii="Aptos" w:hAnsi="Aptos" w:eastAsia="Aptos"/>
                <w:b w:val="0"/>
                <w:color w:val="172033"/>
                <w:sz w:val="16"/>
              </w:rPr>
              <w:t>Apply, assign, defer, or reject with reason.</w:t>
            </w:r>
          </w:p>
        </w:tc>
      </w:tr>
      <w:tr>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Status</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New, assigned, actioned, outcome pending, resolved.</w:t>
            </w:r>
          </w:p>
        </w:tc>
        <w:tc>
          <w:tcPr>
            <w:tcW w:type="dxa" w:w="3408"/>
            <w:vAlign w:val="center"/>
            <w:tcMar>
              <w:top w:w="100" w:type="dxa"/>
              <w:start w:w="140" w:type="dxa"/>
              <w:bottom w:w="100" w:type="dxa"/>
              <w:end w:w="140" w:type="dxa"/>
            </w:tcMar>
          </w:tcPr>
          <w:p>
            <w:pPr>
              <w:spacing w:after="0"/>
            </w:pPr>
            <w:r/>
            <w:r>
              <w:rPr>
                <w:rFonts w:ascii="Aptos" w:hAnsi="Aptos" w:eastAsia="Aptos"/>
                <w:b w:val="0"/>
                <w:color w:val="172033"/>
                <w:sz w:val="16"/>
              </w:rPr>
              <w:t>Optimistic update and audit event.</w:t>
            </w:r>
          </w:p>
        </w:tc>
      </w:tr>
    </w:tbl>
    <w:p>
      <w:pPr>
        <w:spacing w:after="20"/>
      </w:pPr>
    </w:p>
    <w:tbl>
      <w:tblPr>
        <w:tblW w:type="auto" w:w="0"/>
        <w:jc w:val="center"/>
        <w:tblLayout w:type="fixed"/>
        <w:tblLook w:firstColumn="1" w:firstRow="1" w:lastColumn="0" w:lastRow="0" w:noHBand="0" w:noVBand="1" w:val="04A0"/>
      </w:tblPr>
      <w:tblGrid>
        <w:gridCol w:w="5112"/>
        <w:gridCol w:w="5112"/>
      </w:tblGrid>
      <w:tr>
        <w:tc>
          <w:tcPr>
            <w:tcW w:type="dxa" w:w="259"/>
            <w:shd w:fill="00A6A6"/>
          </w:tcPr>
          <w:p/>
        </w:tc>
        <w:tc>
          <w:tcPr>
            <w:tcW w:type="dxa" w:w="9533"/>
            <w:shd w:fill="EFF4F7"/>
            <w:tcMar>
              <w:top w:w="130" w:type="dxa"/>
              <w:start w:w="180" w:type="dxa"/>
              <w:bottom w:w="130" w:type="dxa"/>
              <w:end w:w="180" w:type="dxa"/>
            </w:tcMar>
          </w:tcPr>
          <w:p>
            <w:pPr>
              <w:spacing w:after="20"/>
            </w:pPr>
            <w:r/>
            <w:r>
              <w:rPr>
                <w:rFonts w:ascii="Aptos Display" w:hAnsi="Aptos Display"/>
                <w:b/>
                <w:color w:val="0B1627"/>
                <w:sz w:val="19"/>
              </w:rPr>
              <w:t xml:space="preserve">Order Intelligence drawer  </w:t>
            </w:r>
            <w:r>
              <w:rPr>
                <w:color w:val="172033"/>
                <w:sz w:val="18"/>
              </w:rPr>
              <w:t>Desktop: 560 px right-hand drawer. Header carries order ID, severity, and delivery SLA. First panel gives Return Probability, Estimated Loss, and Recommended Action. Second panel gives driver contribution bars in plain language. Third panel gives alternatives, expected savings, owner, notes, and the decision history.</w:t>
            </w:r>
          </w:p>
        </w:tc>
      </w:tr>
    </w:tbl>
    <w:p>
      <w:pPr>
        <w:spacing w:after="20"/>
      </w:pPr>
    </w:p>
    <w:p>
      <w:pPr>
        <w:pStyle w:val="Heading1"/>
      </w:pPr>
      <w:r>
        <w:t>6. States, accessibility, and responsive rules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0B1627"/>
            <w:vAlign w:val="center"/>
            <w:tcMar>
              <w:top w:w="100" w:type="dxa"/>
              <w:start w:w="140" w:type="dxa"/>
              <w:bottom w:w="100" w:type="dxa"/>
              <w:end w:w="140" w:type="dxa"/>
            </w:tcMar>
          </w:tcPr>
          <w:p>
            <w:pPr>
              <w:spacing w:after="0"/>
            </w:pPr>
            <w:r/>
            <w:r>
              <w:rPr>
                <w:rFonts w:ascii="Aptos" w:hAnsi="Aptos" w:eastAsia="Aptos"/>
                <w:b/>
                <w:color w:val="FFFFFF"/>
                <w:sz w:val="16"/>
              </w:rPr>
              <w:t>Situation</w:t>
            </w:r>
          </w:p>
        </w:tc>
        <w:tc>
          <w:tcPr>
            <w:tcW w:type="dxa" w:w="7632"/>
            <w:shd w:fill="0B1627"/>
            <w:vAlign w:val="center"/>
            <w:tcMar>
              <w:top w:w="100" w:type="dxa"/>
              <w:start w:w="140" w:type="dxa"/>
              <w:bottom w:w="100" w:type="dxa"/>
              <w:end w:w="140" w:type="dxa"/>
            </w:tcMar>
          </w:tcPr>
          <w:p>
            <w:pPr>
              <w:spacing w:after="0"/>
            </w:pPr>
            <w:r/>
            <w:r>
              <w:rPr>
                <w:rFonts w:ascii="Aptos" w:hAnsi="Aptos" w:eastAsia="Aptos"/>
                <w:b/>
                <w:color w:val="FFFFFF"/>
                <w:sz w:val="16"/>
              </w:rPr>
              <w:t>Required experience</w:t>
            </w:r>
          </w:p>
        </w:tc>
      </w:tr>
      <w:tr>
        <w:tc>
          <w:tcPr>
            <w:tcW w:type="dxa" w:w="5112"/>
            <w:vAlign w:val="center"/>
            <w:tcMar>
              <w:top w:w="100" w:type="dxa"/>
              <w:start w:w="140" w:type="dxa"/>
              <w:bottom w:w="100" w:type="dxa"/>
              <w:end w:w="140" w:type="dxa"/>
            </w:tcMar>
          </w:tcPr>
          <w:p>
            <w:pPr>
              <w:spacing w:after="0"/>
            </w:pPr>
            <w:r/>
            <w:r>
              <w:rPr>
                <w:rFonts w:ascii="Aptos" w:hAnsi="Aptos" w:eastAsia="Aptos"/>
                <w:b w:val="0"/>
                <w:color w:val="172033"/>
                <w:sz w:val="16"/>
              </w:rPr>
              <w:t>Loading</w:t>
            </w:r>
          </w:p>
        </w:tc>
        <w:tc>
          <w:tcPr>
            <w:tcW w:type="dxa" w:w="5112"/>
            <w:vAlign w:val="center"/>
            <w:tcMar>
              <w:top w:w="100" w:type="dxa"/>
              <w:start w:w="140" w:type="dxa"/>
              <w:bottom w:w="100" w:type="dxa"/>
              <w:end w:w="140" w:type="dxa"/>
            </w:tcMar>
          </w:tcPr>
          <w:p>
            <w:pPr>
              <w:spacing w:after="0"/>
            </w:pPr>
            <w:r/>
            <w:r>
              <w:rPr>
                <w:rFonts w:ascii="Aptos" w:hAnsi="Aptos" w:eastAsia="Aptos"/>
                <w:b w:val="0"/>
                <w:color w:val="172033"/>
                <w:sz w:val="16"/>
              </w:rPr>
              <w:t>Shape-preserving skeletons; retain filters; label data freshness once loaded.</w:t>
            </w:r>
          </w:p>
        </w:tc>
      </w:tr>
      <w:tr>
        <w:tc>
          <w:tcPr>
            <w:tcW w:type="dxa" w:w="5112"/>
            <w:shd w:fill="F7FAFC"/>
            <w:vAlign w:val="center"/>
            <w:tcMar>
              <w:top w:w="100" w:type="dxa"/>
              <w:start w:w="140" w:type="dxa"/>
              <w:bottom w:w="100" w:type="dxa"/>
              <w:end w:w="140" w:type="dxa"/>
            </w:tcMar>
          </w:tcPr>
          <w:p>
            <w:pPr>
              <w:spacing w:after="0"/>
            </w:pPr>
            <w:r/>
            <w:r>
              <w:rPr>
                <w:rFonts w:ascii="Aptos" w:hAnsi="Aptos" w:eastAsia="Aptos"/>
                <w:b w:val="0"/>
                <w:color w:val="172033"/>
                <w:sz w:val="16"/>
              </w:rPr>
              <w:t>No high-risk orders</w:t>
            </w:r>
          </w:p>
        </w:tc>
        <w:tc>
          <w:tcPr>
            <w:tcW w:type="dxa" w:w="5112"/>
            <w:shd w:fill="F7FAFC"/>
            <w:vAlign w:val="center"/>
            <w:tcMar>
              <w:top w:w="100" w:type="dxa"/>
              <w:start w:w="140" w:type="dxa"/>
              <w:bottom w:w="100" w:type="dxa"/>
              <w:end w:w="140" w:type="dxa"/>
            </w:tcMar>
          </w:tcPr>
          <w:p>
            <w:pPr>
              <w:spacing w:after="0"/>
            </w:pPr>
            <w:r/>
            <w:r>
              <w:rPr>
                <w:rFonts w:ascii="Aptos" w:hAnsi="Aptos" w:eastAsia="Aptos"/>
                <w:b w:val="0"/>
                <w:color w:val="172033"/>
                <w:sz w:val="16"/>
              </w:rPr>
              <w:t>Say No orders need intervention right now and show safe portfolio metrics, not an empty table.</w:t>
            </w:r>
          </w:p>
        </w:tc>
      </w:tr>
      <w:tr>
        <w:tc>
          <w:tcPr>
            <w:tcW w:type="dxa" w:w="5112"/>
            <w:vAlign w:val="center"/>
            <w:tcMar>
              <w:top w:w="100" w:type="dxa"/>
              <w:start w:w="140" w:type="dxa"/>
              <w:bottom w:w="100" w:type="dxa"/>
              <w:end w:w="140" w:type="dxa"/>
            </w:tcMar>
          </w:tcPr>
          <w:p>
            <w:pPr>
              <w:spacing w:after="0"/>
            </w:pPr>
            <w:r/>
            <w:r>
              <w:rPr>
                <w:rFonts w:ascii="Aptos" w:hAnsi="Aptos" w:eastAsia="Aptos"/>
                <w:b w:val="0"/>
                <w:color w:val="172033"/>
                <w:sz w:val="16"/>
              </w:rPr>
              <w:t>Model/API unavailable</w:t>
            </w:r>
          </w:p>
        </w:tc>
        <w:tc>
          <w:tcPr>
            <w:tcW w:type="dxa" w:w="5112"/>
            <w:vAlign w:val="center"/>
            <w:tcMar>
              <w:top w:w="100" w:type="dxa"/>
              <w:start w:w="140" w:type="dxa"/>
              <w:bottom w:w="100" w:type="dxa"/>
              <w:end w:w="140" w:type="dxa"/>
            </w:tcMar>
          </w:tcPr>
          <w:p>
            <w:pPr>
              <w:spacing w:after="0"/>
            </w:pPr>
            <w:r/>
            <w:r>
              <w:rPr>
                <w:rFonts w:ascii="Aptos" w:hAnsi="Aptos" w:eastAsia="Aptos"/>
                <w:b w:val="0"/>
                <w:color w:val="172033"/>
                <w:sz w:val="16"/>
              </w:rPr>
              <w:t>Freeze last successful score, show timestamp, and prevent unlabelled recommendations.</w:t>
            </w:r>
          </w:p>
        </w:tc>
      </w:tr>
      <w:tr>
        <w:tc>
          <w:tcPr>
            <w:tcW w:type="dxa" w:w="5112"/>
            <w:shd w:fill="F7FAFC"/>
            <w:vAlign w:val="center"/>
            <w:tcMar>
              <w:top w:w="100" w:type="dxa"/>
              <w:start w:w="140" w:type="dxa"/>
              <w:bottom w:w="100" w:type="dxa"/>
              <w:end w:w="140" w:type="dxa"/>
            </w:tcMar>
          </w:tcPr>
          <w:p>
            <w:pPr>
              <w:spacing w:after="0"/>
            </w:pPr>
            <w:r/>
            <w:r>
              <w:rPr>
                <w:rFonts w:ascii="Aptos" w:hAnsi="Aptos" w:eastAsia="Aptos"/>
                <w:b w:val="0"/>
                <w:color w:val="172033"/>
                <w:sz w:val="16"/>
              </w:rPr>
              <w:t>Mobile</w:t>
            </w:r>
          </w:p>
        </w:tc>
        <w:tc>
          <w:tcPr>
            <w:tcW w:type="dxa" w:w="5112"/>
            <w:shd w:fill="F7FAFC"/>
            <w:vAlign w:val="center"/>
            <w:tcMar>
              <w:top w:w="100" w:type="dxa"/>
              <w:start w:w="140" w:type="dxa"/>
              <w:bottom w:w="100" w:type="dxa"/>
              <w:end w:w="140" w:type="dxa"/>
            </w:tcMar>
          </w:tcPr>
          <w:p>
            <w:pPr>
              <w:spacing w:after="0"/>
            </w:pPr>
            <w:r/>
            <w:r>
              <w:rPr>
                <w:rFonts w:ascii="Aptos" w:hAnsi="Aptos" w:eastAsia="Aptos"/>
                <w:b w:val="0"/>
                <w:color w:val="172033"/>
                <w:sz w:val="16"/>
              </w:rPr>
              <w:t>Prioritize exposure KPI, top action, and queue. Lower charts sit behind More insights; detail becomes full-screen.</w:t>
            </w:r>
          </w:p>
        </w:tc>
      </w:tr>
      <w:tr>
        <w:tc>
          <w:tcPr>
            <w:tcW w:type="dxa" w:w="5112"/>
            <w:vAlign w:val="center"/>
            <w:tcMar>
              <w:top w:w="100" w:type="dxa"/>
              <w:start w:w="140" w:type="dxa"/>
              <w:bottom w:w="100" w:type="dxa"/>
              <w:end w:w="140" w:type="dxa"/>
            </w:tcMar>
          </w:tcPr>
          <w:p>
            <w:pPr>
              <w:spacing w:after="0"/>
            </w:pPr>
            <w:r/>
            <w:r>
              <w:rPr>
                <w:rFonts w:ascii="Aptos" w:hAnsi="Aptos" w:eastAsia="Aptos"/>
                <w:b w:val="0"/>
                <w:color w:val="172033"/>
                <w:sz w:val="16"/>
              </w:rPr>
              <w:t>Accessibility</w:t>
            </w:r>
          </w:p>
        </w:tc>
        <w:tc>
          <w:tcPr>
            <w:tcW w:type="dxa" w:w="5112"/>
            <w:vAlign w:val="center"/>
            <w:tcMar>
              <w:top w:w="100" w:type="dxa"/>
              <w:start w:w="140" w:type="dxa"/>
              <w:bottom w:w="100" w:type="dxa"/>
              <w:end w:w="140" w:type="dxa"/>
            </w:tcMar>
          </w:tcPr>
          <w:p>
            <w:pPr>
              <w:spacing w:after="0"/>
            </w:pPr>
            <w:r/>
            <w:r>
              <w:rPr>
                <w:rFonts w:ascii="Aptos" w:hAnsi="Aptos" w:eastAsia="Aptos"/>
                <w:b w:val="0"/>
                <w:color w:val="172033"/>
                <w:sz w:val="16"/>
              </w:rPr>
              <w:t>4.5:1 text contrast; labels and icons accompany severity; charts have table/summary alternatives; focus visible.</w:t>
            </w:r>
          </w:p>
        </w:tc>
      </w:tr>
      <w:tr>
        <w:tc>
          <w:tcPr>
            <w:tcW w:type="dxa" w:w="5112"/>
            <w:shd w:fill="F7FAFC"/>
            <w:vAlign w:val="center"/>
            <w:tcMar>
              <w:top w:w="100" w:type="dxa"/>
              <w:start w:w="140" w:type="dxa"/>
              <w:bottom w:w="100" w:type="dxa"/>
              <w:end w:w="140" w:type="dxa"/>
            </w:tcMar>
          </w:tcPr>
          <w:p>
            <w:pPr>
              <w:spacing w:after="0"/>
            </w:pPr>
            <w:r/>
            <w:r>
              <w:rPr>
                <w:rFonts w:ascii="Aptos" w:hAnsi="Aptos" w:eastAsia="Aptos"/>
                <w:b w:val="0"/>
                <w:color w:val="172033"/>
                <w:sz w:val="16"/>
              </w:rPr>
              <w:t>Trust</w:t>
            </w:r>
          </w:p>
        </w:tc>
        <w:tc>
          <w:tcPr>
            <w:tcW w:type="dxa" w:w="5112"/>
            <w:shd w:fill="F7FAFC"/>
            <w:vAlign w:val="center"/>
            <w:tcMar>
              <w:top w:w="100" w:type="dxa"/>
              <w:start w:w="140" w:type="dxa"/>
              <w:bottom w:w="100" w:type="dxa"/>
              <w:end w:w="140" w:type="dxa"/>
            </w:tcMar>
          </w:tcPr>
          <w:p>
            <w:pPr>
              <w:spacing w:after="0"/>
            </w:pPr>
            <w:r/>
            <w:r>
              <w:rPr>
                <w:rFonts w:ascii="Aptos" w:hAnsi="Aptos" w:eastAsia="Aptos"/>
                <w:b w:val="0"/>
                <w:color w:val="172033"/>
                <w:sz w:val="16"/>
              </w:rPr>
              <w:t>Expose score time, model version, confidence band, and data fields used. Never imply certainty.</w:t>
            </w:r>
          </w:p>
        </w:tc>
      </w:tr>
    </w:tbl>
    <w:p>
      <w:pPr>
        <w:spacing w:after="20"/>
      </w:pPr>
    </w:p>
    <w:p>
      <w:pPr>
        <w:pStyle w:val="Heading1"/>
      </w:pPr>
      <w:r>
        <w:t>7. Interaction rules and acceptance checklist</w:t>
      </w:r>
    </w:p>
    <w:p>
      <w:pPr>
        <w:pStyle w:val="ListNumber"/>
        <w:spacing w:after="40"/>
      </w:pPr>
      <w:r>
        <w:t>Top-level date, store, category, region, and payment filters update all modules and appear as removable chips.</w:t>
      </w:r>
    </w:p>
    <w:p>
      <w:pPr>
        <w:pStyle w:val="ListNumber"/>
        <w:spacing w:after="40"/>
      </w:pPr>
      <w:r>
        <w:t>Selecting a chart mark cross-filters the queue; filters are readable and reversible.</w:t>
      </w:r>
    </w:p>
    <w:p>
      <w:pPr>
        <w:pStyle w:val="ListNumber"/>
        <w:spacing w:after="40"/>
      </w:pPr>
      <w:r>
        <w:t>Customer-facing interventions require confirmation; routine tasks update immediately and log operator, time, and rationale.</w:t>
      </w:r>
    </w:p>
    <w:p>
      <w:pPr>
        <w:pStyle w:val="ListNumber"/>
        <w:spacing w:after="40"/>
      </w:pPr>
      <w:r>
        <w:t>Rejections and overrides require a reason and feed policy/model evaluation, not direct training without review.</w:t>
      </w:r>
    </w:p>
    <w:p>
      <w:pPr>
        <w:pStyle w:val="ListNumber"/>
        <w:spacing w:after="40"/>
      </w:pPr>
      <w:r>
        <w:t>Default currency is INR; tenant settings control currency, time zone, and financial cutoff.</w:t>
      </w:r>
    </w:p>
    <w:p>
      <w:pPr>
        <w:pStyle w:val="ListBullet"/>
        <w:spacing w:after="40"/>
      </w:pPr>
      <w:r>
        <w:t>A manager can identify current exposure, largest contributor, and best next action within 30 seconds.</w:t>
      </w:r>
    </w:p>
    <w:p>
      <w:pPr>
        <w:pStyle w:val="ListBullet"/>
        <w:spacing w:after="40"/>
      </w:pPr>
      <w:r>
        <w:t>An analyst can understand the top three drivers and apply an approved action without leaving the workflow.</w:t>
      </w:r>
    </w:p>
    <w:p>
      <w:pPr>
        <w:pStyle w:val="ListBullet"/>
        <w:spacing w:after="40"/>
      </w:pPr>
      <w:r>
        <w:t>Every value has visible filter scope, definition, and data freshness.</w:t>
      </w:r>
    </w:p>
    <w:p>
      <w:pPr>
        <w:pStyle w:val="ListBullet"/>
        <w:spacing w:after="40"/>
      </w:pPr>
      <w:r>
        <w:t>No decision-critical meaning relies on color, hover-only information, or unexplained ML terminology.</w:t>
      </w:r>
    </w:p>
    <w:sectPr w:rsidR="00FC693F" w:rsidRPr="0006063C" w:rsidSect="00034616">
      <w:footerReference w:type="default" r:id="rId9"/>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16174"/>
        <w:sz w:val="15"/>
      </w:rPr>
      <w:t xml:space="preserve">ReturnShield AI | Dashboard Design Specification | Confidential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eastAsia="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eastAsia="Aptos Display"/>
      <w:b/>
      <w:bCs/>
      <w:color w:val="0B1627"/>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eastAsia="Aptos Display"/>
      <w:b/>
      <w:bCs/>
      <w:color w:val="007A7A"/>
      <w:sz w:val="25"/>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ptos Display" w:hAnsi="Aptos Display" w:eastAsia="Aptos Display"/>
      <w:b/>
      <w:bCs/>
      <w:color w:val="0B162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0B1627"/>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