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6912"/>
            <w:shd w:fill="0B16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 Display" w:hAnsi="Aptos Display" w:eastAsia="Aptos Display"/>
                <w:b/>
                <w:color w:val="FFFFFF"/>
                <w:sz w:val="24"/>
              </w:rPr>
              <w:t>RETURNSHIELD AI</w:t>
            </w:r>
          </w:p>
        </w:tc>
        <w:tc>
          <w:tcPr>
            <w:tcW w:type="dxa" w:w="2880"/>
            <w:shd w:fill="00A6A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PRD V1.0</w:t>
            </w:r>
          </w:p>
        </w:tc>
      </w:tr>
    </w:tbl>
    <w:p>
      <w:pPr>
        <w:spacing w:before="1400" w:after="200"/>
      </w:pPr>
      <w:r>
        <w:rPr>
          <w:rFonts w:ascii="Aptos Display" w:hAnsi="Aptos Display"/>
          <w:b/>
          <w:color w:val="0B1627"/>
          <w:sz w:val="62"/>
        </w:rPr>
        <w:t>Product Requirements Document</w:t>
      </w:r>
    </w:p>
    <w:p>
      <w:pPr>
        <w:spacing w:after="360"/>
      </w:pPr>
      <w:r>
        <w:rPr>
          <w:color w:val="516174"/>
          <w:sz w:val="30"/>
        </w:rPr>
        <w:t>ReturnShield AI - Intelligent Return Risk &amp; Revenue Protection Platform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F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 Display" w:hAnsi="Aptos Display" w:eastAsia="Aptos Display"/>
                <w:b/>
                <w:color w:val="0B1627"/>
                <w:sz w:val="22"/>
              </w:rPr>
              <w:t>ReturnShield AI converts predicted returns into measurable, preventive business decisions before a shipment becomes a loss.</w:t>
            </w:r>
          </w:p>
        </w:tc>
      </w:tr>
    </w:tbl>
    <w:p>
      <w:pPr>
        <w:spacing w:before="1300"/>
      </w:pPr>
      <w:r>
        <w:rPr>
          <w:color w:val="516174"/>
          <w:sz w:val="18"/>
        </w:rPr>
        <w:t>Prepared for product design and implementation</w:t>
        <w:br/>
        <w:t>July 2026</w:t>
      </w:r>
    </w:p>
    <w:p>
      <w:r>
        <w:br w:type="page"/>
      </w:r>
    </w:p>
    <w:p>
      <w:pPr>
        <w:pStyle w:val="Heading1"/>
      </w:pPr>
      <w:r>
        <w:t>1. Product summary</w:t>
      </w:r>
    </w:p>
    <w:p>
      <w:r>
        <w:t>ReturnShield AI helps e-commerce teams act before an order becomes a return. It estimates return likelihood and financial exposure, explains the key drivers, and recommends an approved intervention that protects revenue without creating unnecessary customer friction.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088"/>
            <w:shd w:fill="0B16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776"/>
            <w:shd w:fill="0B16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Decision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Primary outcome</w:t>
            </w:r>
          </w:p>
        </w:tc>
        <w:tc>
          <w:tcPr>
            <w:tcW w:type="dxa" w:w="51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Reduce avoidable return-related loss while maintaining fair, explainable customer treatment.</w:t>
            </w:r>
          </w:p>
        </w:tc>
      </w:tr>
      <w:tr>
        <w:tc>
          <w:tcPr>
            <w:tcW w:type="dxa" w:w="5112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Primary users</w:t>
            </w:r>
          </w:p>
        </w:tc>
        <w:tc>
          <w:tcPr>
            <w:tcW w:type="dxa" w:w="5112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Operations managers, return/fraud analysts, category leads, policy administrators.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MVP channel</w:t>
            </w:r>
          </w:p>
        </w:tc>
        <w:tc>
          <w:tcPr>
            <w:tcW w:type="dxa" w:w="51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Internal web dashboard with REST APIs and scheduled/batch scoring. No customer-facing experience in MVP.</w:t>
            </w:r>
          </w:p>
        </w:tc>
      </w:tr>
      <w:tr>
        <w:tc>
          <w:tcPr>
            <w:tcW w:type="dxa" w:w="5112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Initial market</w:t>
            </w:r>
          </w:p>
        </w:tc>
        <w:tc>
          <w:tcPr>
            <w:tcW w:type="dxa" w:w="5112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Indian e-commerce operations: INR, COD, OTP, delivery delay, and regional behavior are first-class signals.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North-star metric</w:t>
            </w:r>
          </w:p>
        </w:tc>
        <w:tc>
          <w:tcPr>
            <w:tcW w:type="dxa" w:w="51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Validated loss prevented through actions recommended or prioritized by ReturnShield AI.</w:t>
            </w:r>
          </w:p>
        </w:tc>
      </w:tr>
    </w:tbl>
    <w:p>
      <w:pPr>
        <w:spacing w:after="20"/>
      </w:pPr>
    </w:p>
    <w:p>
      <w:pPr>
        <w:pStyle w:val="Heading1"/>
      </w:pPr>
      <w:r>
        <w:t>2. Problem and opportunity</w:t>
      </w:r>
    </w:p>
    <w:p>
      <w:r>
        <w:t>Teams commonly see a return only after dispatch or delivery. They then pay for refunds, reverse logistics, handling, damaged inventory, and fraudulent claims. A probability alone does not answer the operational questions: how much is at stake, why is it risky, and what should we do now?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"/>
            <w:shd w:fill="00A6A6"/>
          </w:tcPr>
          <w:p/>
        </w:tc>
        <w:tc>
          <w:tcPr>
            <w:tcW w:type="dxa" w:w="9533"/>
            <w:shd w:fill="EFF4F7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20"/>
            </w:pPr>
            <w:r/>
            <w:r>
              <w:rPr>
                <w:rFonts w:ascii="Aptos Display" w:hAnsi="Aptos Display"/>
                <w:b/>
                <w:color w:val="0B1627"/>
                <w:sz w:val="19"/>
              </w:rPr>
              <w:t xml:space="preserve">Product thesis  </w:t>
            </w:r>
            <w:r>
              <w:rPr>
                <w:color w:val="172033"/>
                <w:sz w:val="18"/>
              </w:rPr>
              <w:t>A prediction is useful only when it is financially material, explainable to an operator, and connected to a permissible action with a measurable outcome.</w:t>
            </w:r>
          </w:p>
        </w:tc>
      </w:tr>
    </w:tbl>
    <w:p>
      <w:pPr>
        <w:spacing w:after="20"/>
      </w:pPr>
    </w:p>
    <w:p>
      <w:pPr>
        <w:pStyle w:val="Heading1"/>
      </w:pPr>
      <w:r>
        <w:t>3. Goals and non-goals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896"/>
            <w:shd w:fill="0B16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Goals for MVP</w:t>
            </w:r>
          </w:p>
        </w:tc>
        <w:tc>
          <w:tcPr>
            <w:tcW w:type="dxa" w:w="4968"/>
            <w:shd w:fill="0B16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Explicit non-goals for MVP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Score incoming and selected historical orders for return probability and loss.</w:t>
            </w:r>
          </w:p>
        </w:tc>
        <w:tc>
          <w:tcPr>
            <w:tcW w:type="dxa" w:w="51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Automatically cancel orders or alter customer policy without a configurable human-approved rule.</w:t>
            </w:r>
          </w:p>
        </w:tc>
      </w:tr>
      <w:tr>
        <w:tc>
          <w:tcPr>
            <w:tcW w:type="dxa" w:w="5112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Triage orders where expected loss and action urgency are highest.</w:t>
            </w:r>
          </w:p>
        </w:tc>
        <w:tc>
          <w:tcPr>
            <w:tcW w:type="dxa" w:w="5112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Replace the merchant ERP, OMS, CRM, or fraud platform.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Explain each prediction and show data freshness/model context.</w:t>
            </w:r>
          </w:p>
        </w:tc>
        <w:tc>
          <w:tcPr>
            <w:tcW w:type="dxa" w:w="51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Train deep-learning fraud models or verify returned-product images.</w:t>
            </w:r>
          </w:p>
        </w:tc>
      </w:tr>
      <w:tr>
        <w:tc>
          <w:tcPr>
            <w:tcW w:type="dxa" w:w="5112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Recommend actions from a configurable policy playbook and record outcomes.</w:t>
            </w:r>
          </w:p>
        </w:tc>
        <w:tc>
          <w:tcPr>
            <w:tcW w:type="dxa" w:w="5112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Guarantee a return will not happen or that a financial estimate is exact.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Measure adoption, outcome quality, and prevented-loss estimates.</w:t>
            </w:r>
          </w:p>
        </w:tc>
        <w:tc>
          <w:tcPr>
            <w:tcW w:type="dxa" w:w="51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Use protected attributes or decide eligibility outside approved business policies.</w:t>
            </w:r>
          </w:p>
        </w:tc>
      </w:tr>
    </w:tbl>
    <w:p>
      <w:pPr>
        <w:spacing w:after="20"/>
      </w:pPr>
    </w:p>
    <w:p>
      <w:pPr>
        <w:pStyle w:val="Heading1"/>
      </w:pPr>
      <w:r>
        <w:t>4. Users and jobs to be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944"/>
            <w:shd w:fill="0B16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Persona</w:t>
            </w:r>
          </w:p>
        </w:tc>
        <w:tc>
          <w:tcPr>
            <w:tcW w:type="dxa" w:w="5256"/>
            <w:shd w:fill="0B16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Job to be done</w:t>
            </w:r>
          </w:p>
        </w:tc>
        <w:tc>
          <w:tcPr>
            <w:tcW w:type="dxa" w:w="2664"/>
            <w:shd w:fill="0B16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Success signal</w:t>
            </w:r>
          </w:p>
        </w:tc>
      </w:tr>
      <w:tr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Operations manager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Understand exposure and direct the team to highest-impact work.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At-risk INR, overdue work, and policy impact are visible together.</w:t>
            </w:r>
          </w:p>
        </w:tc>
      </w:tr>
      <w:tr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Risk analyst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Review high-risk orders, understand why, and act before cutoff.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Makes a defensible decision in under two minutes.</w:t>
            </w:r>
          </w:p>
        </w:tc>
      </w:tr>
      <w:tr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Category lead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Find product, seller, and delivery conditions causing returns.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Prioritizes remediation from cohort evidence.</w:t>
            </w:r>
          </w:p>
        </w:tc>
      </w:tr>
      <w:tr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Policy admin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Configure thresholds, action guardrails, owners, and escalation.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Changes are reviewed, versioned, and auditable.</w:t>
            </w:r>
          </w:p>
        </w:tc>
      </w:tr>
      <w:tr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Data/ML owner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Monitor coverage, calibration, drift, and feedback quality.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Can identify model/input degradation needing attention.</w:t>
            </w:r>
          </w:p>
        </w:tc>
      </w:tr>
    </w:tbl>
    <w:p>
      <w:pPr>
        <w:spacing w:after="20"/>
      </w:pPr>
    </w:p>
    <w:p>
      <w:pPr>
        <w:pStyle w:val="Heading1"/>
      </w:pPr>
      <w:r>
        <w:t>5. Core workflow</w:t>
      </w:r>
    </w:p>
    <w:p>
      <w:pPr>
        <w:pStyle w:val="ListNumber"/>
        <w:spacing w:after="40"/>
      </w:pPr>
      <w:r>
        <w:t>Order and context data arrives through API, file import, or scheduled connector.</w:t>
      </w:r>
    </w:p>
    <w:p>
      <w:pPr>
        <w:pStyle w:val="ListNumber"/>
        <w:spacing w:after="40"/>
      </w:pPr>
      <w:r>
        <w:t>The platform validates fields, derives features, and produces return risk plus estimated loss.</w:t>
      </w:r>
    </w:p>
    <w:p>
      <w:pPr>
        <w:pStyle w:val="ListNumber"/>
        <w:spacing w:after="40"/>
      </w:pPr>
      <w:r>
        <w:t>The explanation service turns top feature contributions into plain-language drivers.</w:t>
      </w:r>
    </w:p>
    <w:p>
      <w:pPr>
        <w:pStyle w:val="ListNumber"/>
        <w:spacing w:after="40"/>
      </w:pPr>
      <w:r>
        <w:t>The recommendation engine matches risk, value, and constraints to an approved action playbook.</w:t>
      </w:r>
    </w:p>
    <w:p>
      <w:pPr>
        <w:pStyle w:val="ListNumber"/>
        <w:spacing w:after="40"/>
      </w:pPr>
      <w:r>
        <w:t>The dashboard routes the order to the right priority queue and alerts its responsible owner.</w:t>
      </w:r>
    </w:p>
    <w:p>
      <w:pPr>
        <w:pStyle w:val="ListNumber"/>
        <w:spacing w:after="40"/>
      </w:pPr>
      <w:r>
        <w:t>The operator applies, overrides, or rejects the action; later outcomes close the feedback loop.</w:t>
      </w:r>
    </w:p>
    <w:p>
      <w:pPr>
        <w:pStyle w:val="Heading1"/>
      </w:pPr>
      <w:r>
        <w:t>6. Functional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792"/>
            <w:shd w:fill="0B16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4680"/>
            <w:shd w:fill="0B16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4392"/>
            <w:shd w:fill="0B16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Acceptance criteria</w:t>
            </w:r>
          </w:p>
        </w:tc>
      </w:tr>
      <w:tr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FR-01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Ingest orders with IDs, product, price, payment, delivery, and customer-history fields.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Invalid records are quarantined with field errors; valid records are idempotently stored.</w:t>
            </w:r>
          </w:p>
        </w:tc>
      </w:tr>
      <w:tr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FR-02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Generate probability, risk band, confidence, and estimated loss for every scoreable order.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Score, model version, feature time, and calculation time are saved.</w:t>
            </w:r>
          </w:p>
        </w:tc>
      </w:tr>
      <w:tr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FR-03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Prioritize by expected loss and action cutoff, not probability alone.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Queue default sort uses a visible priority breakdown.</w:t>
            </w:r>
          </w:p>
        </w:tc>
      </w:tr>
      <w:tr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FR-04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Show at least three human-readable drivers for high-risk orders.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Drivers name source fields and direction; raw SHAP is never the only explanation.</w:t>
            </w:r>
          </w:p>
        </w:tc>
      </w:tr>
      <w:tr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FR-05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Recommend one primary and up to two alternate actions from approved playbooks.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Actions include expected benefit, constraints, owner, and approval need.</w:t>
            </w:r>
          </w:p>
        </w:tc>
      </w:tr>
      <w:tr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FR-06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Allow analysts to assign, apply, defer, reject, or override recommendations.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Every decision writes immutable audit events; reject/override needs reason.</w:t>
            </w:r>
          </w:p>
        </w:tc>
      </w:tr>
      <w:tr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FR-07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Provide overview, queue, order detail, category, and regional views with common filters.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Filtering cross-updates charts and queue and can be cleared.</w:t>
            </w:r>
          </w:p>
        </w:tc>
      </w:tr>
      <w:tr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FR-08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Alert for critical orders and approaching action cutoffs.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Users can configure threshold and acknowledge in-app/email alert.</w:t>
            </w:r>
          </w:p>
        </w:tc>
      </w:tr>
      <w:tr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FR-09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Track action status and final return/refund outcome.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Outcome updates impact reporting without overwriting original prediction.</w:t>
            </w:r>
          </w:p>
        </w:tc>
      </w:tr>
      <w:tr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FR-10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Configure risk bands, actions, roles, and retention.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4"/>
              </w:rPr>
              <w:t>Changes are versioned with actor and timestamp.</w:t>
            </w:r>
          </w:p>
        </w:tc>
      </w:tr>
    </w:tbl>
    <w:p>
      <w:pPr>
        <w:spacing w:after="20"/>
      </w:pPr>
    </w:p>
    <w:p>
      <w:pPr>
        <w:pStyle w:val="Heading1"/>
      </w:pPr>
      <w:r>
        <w:t>7. Recommendation playbook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024"/>
            <w:shd w:fill="0B16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Condition example</w:t>
            </w:r>
          </w:p>
        </w:tc>
        <w:tc>
          <w:tcPr>
            <w:tcW w:type="dxa" w:w="3888"/>
            <w:shd w:fill="0B16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Recommendation</w:t>
            </w:r>
          </w:p>
        </w:tc>
        <w:tc>
          <w:tcPr>
            <w:tcW w:type="dxa" w:w="2952"/>
            <w:shd w:fill="0B16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Guardrail / owner</w:t>
            </w:r>
          </w:p>
        </w:tc>
      </w:tr>
      <w:tr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High loss + high risk + COD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Require OTP verification or restrict COD for this order.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Only when merchant policy permits; operations owner.</w:t>
            </w:r>
          </w:p>
        </w:tc>
      </w:tr>
      <w:tr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High risk + exchangeable SKU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Offer exchange-first flow instead of refund.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Never suppress statutory rights; CX owner.</w:t>
            </w:r>
          </w:p>
        </w:tc>
      </w:tr>
      <w:tr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Fragile product + damage signal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Manual quality inspection and reinforced packaging.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Warehouse owner; save packing evidence.</w:t>
            </w:r>
          </w:p>
        </w:tc>
      </w:tr>
      <w:tr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High delivery-delay contribution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Prioritize dispatch or escalate delivery.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Log carrier action and ETA.</w:t>
            </w:r>
          </w:p>
        </w:tc>
      </w:tr>
      <w:tr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Repeat-return pattern + low value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Monitor or use low-friction verification.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Avoid punitive treatment; analyst review when escalated.</w:t>
            </w:r>
          </w:p>
        </w:tc>
      </w:tr>
    </w:tbl>
    <w:p>
      <w:pPr>
        <w:spacing w:after="20"/>
      </w:pPr>
    </w:p>
    <w:p>
      <w:pPr>
        <w:pStyle w:val="Heading1"/>
      </w:pPr>
      <w:r>
        <w:t>8. Metrics and success criteria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88"/>
            <w:shd w:fill="0B16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4896"/>
            <w:shd w:fill="0B16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Definition</w:t>
            </w:r>
          </w:p>
        </w:tc>
        <w:tc>
          <w:tcPr>
            <w:tcW w:type="dxa" w:w="2808"/>
            <w:shd w:fill="0B16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Target / cadence</w:t>
            </w:r>
          </w:p>
        </w:tc>
      </w:tr>
      <w:tr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Validated loss prevented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Counterfactual-adjusted avoided-cost estimate after adopted intervention.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Baseline month 1; monthly review.</w:t>
            </w:r>
          </w:p>
        </w:tc>
      </w:tr>
      <w:tr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High-risk action SLA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Critical/high orders actioned before operational cutoff.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&gt;= 85% after rollout stabilization.</w:t>
            </w:r>
          </w:p>
        </w:tc>
      </w:tr>
      <w:tr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Precision at high band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High-band orders that later return or have relevant loss outcome.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Baseline first; monitor weekly.</w:t>
            </w:r>
          </w:p>
        </w:tc>
      </w:tr>
      <w:tr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Explanation usefulness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Analysts saying drivers are sufficient to decide.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&gt;= 75% in pilot survey.</w:t>
            </w:r>
          </w:p>
        </w:tc>
      </w:tr>
      <w:tr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Recommendation adoption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Eligible recommendations applied or explicitly overridden.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Track per policy; no universal quota.</w:t>
            </w:r>
          </w:p>
        </w:tc>
      </w:tr>
      <w:tr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Customer harm guardrail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Complaint/cancellation/false-positive trend after intervention.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5"/>
              </w:rPr>
              <w:t>No material adverse movement without review.</w:t>
            </w:r>
          </w:p>
        </w:tc>
      </w:tr>
    </w:tbl>
    <w:p>
      <w:pPr>
        <w:spacing w:after="20"/>
      </w:pPr>
    </w:p>
    <w:p>
      <w:pPr>
        <w:pStyle w:val="Heading1"/>
      </w:pPr>
      <w:r>
        <w:t>9. Roles, non-functional requirements, and release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728"/>
            <w:shd w:fill="0B16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8064"/>
            <w:shd w:fill="0B16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Access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Viewer</w:t>
            </w:r>
          </w:p>
        </w:tc>
        <w:tc>
          <w:tcPr>
            <w:tcW w:type="dxa" w:w="51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View dashboards and approved aggregate exports.</w:t>
            </w:r>
          </w:p>
        </w:tc>
      </w:tr>
      <w:tr>
        <w:tc>
          <w:tcPr>
            <w:tcW w:type="dxa" w:w="5112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Analyst</w:t>
            </w:r>
          </w:p>
        </w:tc>
        <w:tc>
          <w:tcPr>
            <w:tcW w:type="dxa" w:w="5112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View order detail, decide within playbook, add notes, manage assigned work.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Manager</w:t>
            </w:r>
          </w:p>
        </w:tc>
        <w:tc>
          <w:tcPr>
            <w:tcW w:type="dxa" w:w="51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Analyst access plus queues, assignments, and policy-performance views.</w:t>
            </w:r>
          </w:p>
        </w:tc>
      </w:tr>
      <w:tr>
        <w:tc>
          <w:tcPr>
            <w:tcW w:type="dxa" w:w="5112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Admin</w:t>
            </w:r>
          </w:p>
        </w:tc>
        <w:tc>
          <w:tcPr>
            <w:tcW w:type="dxa" w:w="5112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Users, integrations, thresholds, policies, retention, exports.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ML owner</w:t>
            </w:r>
          </w:p>
        </w:tc>
        <w:tc>
          <w:tcPr>
            <w:tcW w:type="dxa" w:w="51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Model registry and health configuration; cannot bypass merchant policy by default.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Dashboard p95 load under 3 seconds for a 30-day filtered tenant view; queue filtering p95 under 1.5 seconds.</w:t>
      </w:r>
    </w:p>
    <w:p>
      <w:pPr>
        <w:pStyle w:val="ListBullet"/>
        <w:spacing w:after="40"/>
      </w:pPr>
      <w:r>
        <w:t>Single synchronous scoring p95 under 800 ms when model service is healthy; batch scoring is retryable and idempotent.</w:t>
      </w:r>
    </w:p>
    <w:p>
      <w:pPr>
        <w:pStyle w:val="ListBullet"/>
        <w:spacing w:after="40"/>
      </w:pPr>
      <w:r>
        <w:t>Sensitive data encrypted in transit and at rest; least-privilege RBAC; immutable decision/configuration audit history.</w:t>
      </w:r>
    </w:p>
    <w:p>
      <w:pPr>
        <w:pStyle w:val="ListBullet"/>
        <w:spacing w:after="40"/>
      </w:pPr>
      <w:r>
        <w:t>Predictions, financial estimates, recommendations, and outcomes remain historically reproducible through versioned models and policies.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224"/>
            <w:shd w:fill="0B16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5184"/>
            <w:shd w:fill="0B16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384"/>
            <w:shd w:fill="0B16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Exit condition</w:t>
            </w:r>
          </w:p>
        </w:tc>
      </w:tr>
      <w:tr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Pilot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One merchant, batch scoring, dashboard/queue, explanations, manual actions, outcome import.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Source reconciliation and analyst pilot workflows pass.</w:t>
            </w:r>
          </w:p>
        </w:tc>
      </w:tr>
      <w:tr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MVP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API scoring, alerts, category/region analytics, policies, model health, RBAC.</w:t>
            </w:r>
          </w:p>
        </w:tc>
        <w:tc>
          <w:tcPr>
            <w:tcW w:type="dxa" w:w="3408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Success metrics measured for two operating cycles.</w:t>
            </w:r>
          </w:p>
        </w:tc>
      </w:tr>
      <w:tr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Scale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Multiple stores, OMS/CRM connectors, policy experiments, advanced fraud/image verification.</w:t>
            </w:r>
          </w:p>
        </w:tc>
        <w:tc>
          <w:tcPr>
            <w:tcW w:type="dxa" w:w="3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Isolation, performance, governance proven at volume.</w:t>
            </w:r>
          </w:p>
        </w:tc>
      </w:tr>
    </w:tbl>
    <w:p>
      <w:pPr>
        <w:spacing w:after="20"/>
      </w:pPr>
    </w:p>
    <w:p>
      <w:pPr>
        <w:pStyle w:val="Heading1"/>
      </w:pPr>
      <w:r>
        <w:t>10. Product risks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952"/>
            <w:shd w:fill="0B16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6840"/>
            <w:shd w:fill="0B162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Mitigation / decision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Poor or delayed outcome labels</w:t>
            </w:r>
          </w:p>
        </w:tc>
        <w:tc>
          <w:tcPr>
            <w:tcW w:type="dxa" w:w="51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Show freshness/coverage, retain unscored state, and never overstate financial impact.</w:t>
            </w:r>
          </w:p>
        </w:tc>
      </w:tr>
      <w:tr>
        <w:tc>
          <w:tcPr>
            <w:tcW w:type="dxa" w:w="5112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Aggressive interventions</w:t>
            </w:r>
          </w:p>
        </w:tc>
        <w:tc>
          <w:tcPr>
            <w:tcW w:type="dxa" w:w="5112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Policy guardrails, human approval, customer-harm monitoring, and explainable alternatives.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Seasonal or category drift</w:t>
            </w:r>
          </w:p>
        </w:tc>
        <w:tc>
          <w:tcPr>
            <w:tcW w:type="dxa" w:w="51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Track calibration by cohort; review model before enabling release.</w:t>
            </w:r>
          </w:p>
        </w:tc>
      </w:tr>
      <w:tr>
        <w:tc>
          <w:tcPr>
            <w:tcW w:type="dxa" w:w="5112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Low recommendation adoption</w:t>
            </w:r>
          </w:p>
        </w:tc>
        <w:tc>
          <w:tcPr>
            <w:tcW w:type="dxa" w:w="5112"/>
            <w:shd w:fill="F7FAFC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Design around immediate queues, expected value, ownership, and feedback capture.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Avoided loss is hard to prove</w:t>
            </w:r>
          </w:p>
        </w:tc>
        <w:tc>
          <w:tcPr>
            <w:tcW w:type="dxa" w:w="51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72033"/>
                <w:sz w:val="16"/>
              </w:rPr>
              <w:t>Use outcome comparison and documented counterfactual assumptions; label estimates clearly.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936" w:right="1008" w:bottom="936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16174"/>
        <w:sz w:val="15"/>
      </w:rPr>
      <w:t xml:space="preserve">ReturnShield AI | Product Requirements Document | Confidential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Aptos" w:hAnsi="Aptos" w:eastAsia="Aptos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16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7A7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0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162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B1627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