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 w:eastAsia="Aptos Display"/>
                <w:b/>
                <w:color w:val="FFFFFF"/>
                <w:sz w:val="24"/>
              </w:rPr>
              <w:t>RETURNSHIELD AI</w:t>
            </w:r>
          </w:p>
        </w:tc>
        <w:tc>
          <w:tcPr>
            <w:tcW w:type="dxa" w:w="2880"/>
            <w:shd w:fill="00A6A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TRD V1.0</w:t>
            </w:r>
          </w:p>
        </w:tc>
      </w:tr>
    </w:tbl>
    <w:p>
      <w:pPr>
        <w:spacing w:before="1400" w:after="200"/>
      </w:pPr>
      <w:r>
        <w:rPr>
          <w:rFonts w:ascii="Aptos Display" w:hAnsi="Aptos Display"/>
          <w:b/>
          <w:color w:val="0B1627"/>
          <w:sz w:val="62"/>
        </w:rPr>
        <w:t>Technical Requirements Document</w:t>
      </w:r>
    </w:p>
    <w:p>
      <w:pPr>
        <w:spacing w:after="360"/>
      </w:pPr>
      <w:r>
        <w:rPr>
          <w:color w:val="516174"/>
          <w:sz w:val="30"/>
        </w:rPr>
        <w:t>Architecture and implementation blueprint for ReturnShield 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 w:eastAsia="Aptos Display"/>
                <w:b/>
                <w:color w:val="0B1627"/>
                <w:sz w:val="22"/>
              </w:rPr>
              <w:t>ReturnShield AI converts predicted returns into measurable, preventive business decisions before a shipment becomes a loss.</w:t>
            </w:r>
          </w:p>
        </w:tc>
      </w:tr>
    </w:tbl>
    <w:p>
      <w:pPr>
        <w:spacing w:before="1300"/>
      </w:pPr>
      <w:r>
        <w:rPr>
          <w:color w:val="516174"/>
          <w:sz w:val="18"/>
        </w:rPr>
        <w:t>Prepared for product design and implementation</w:t>
        <w:br/>
        <w:t>July 2026</w:t>
      </w:r>
    </w:p>
    <w:p>
      <w:r>
        <w:br w:type="page"/>
      </w:r>
    </w:p>
    <w:p>
      <w:pPr>
        <w:pStyle w:val="Heading1"/>
      </w:pPr>
      <w:r>
        <w:t>1. Technical objective</w:t>
      </w:r>
    </w:p>
    <w:p>
      <w:r>
        <w:t>Deliver a secure, auditable web platform that ingests e-commerce orders, produces explainable return-risk and loss estimates, recommends approved interventions, and presents operational analytics at low latency. Application, model-serving, data processing, and policy decisioning are deliberately separated so each can evolve safely.</w:t>
      </w:r>
    </w:p>
    <w:p>
      <w:pPr>
        <w:pStyle w:val="Heading1"/>
      </w:pPr>
      <w:r>
        <w:t>2. Reference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Aptos Mono" w:hAnsi="Aptos Mono" w:eastAsia="Aptos Mono"/>
                <w:color w:val="172033"/>
                <w:sz w:val="14"/>
              </w:rPr>
              <w:t>Users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| HTTPS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React + Tailwind dashboard (Vercel or equivalent CDN)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| REST / WebSocket alerts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Node.js + Express API / BFF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|-------------+---------------+---------------+----------------|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Auth/RBAC   Order service   Decision service  Analytics service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|             |               |               |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PostgreSQL  Queue/worker    FastAPI model API  Aggregation tables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              |               |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        Feature builder   Model registry / artifacts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              |               |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        OMS / CRM / ERP / CSV imports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240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489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Web client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React, TypeScript, Tailwind, Recharts/Chart.js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Dashboard, filters, queue, detail, action workflow, accessible charts.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Application API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Node.js, Express.js, TypeScript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Auth gateway, tenant enforcement, CRUD, dashboard composition, policy/action commands.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Model API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Python, FastAPI, scikit-learn, pandas, numpy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Feature validation, prediction, loss regression, explanations, model metadata.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Data stores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PostgreSQL preferred; Redis optional; object storage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Transactions, aggregates/cache, model artifacts, raw import evidence.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Async processing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BullMQ/Redis or cloud queue plus workers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Batch scoring, import, alert fan-out, outcome reconciliation, aggregations.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Observability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Structured logs, metrics, tracing, error tracking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Health, latency, auditability, score coverage, and model monitoring.</w:t>
            </w:r>
          </w:p>
        </w:tc>
      </w:tr>
    </w:tbl>
    <w:p>
      <w:pPr>
        <w:spacing w:after="20"/>
      </w:pPr>
    </w:p>
    <w:p>
      <w:pPr>
        <w:pStyle w:val="Heading1"/>
      </w:pPr>
      <w:r>
        <w:t>3. Component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53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Must do</w:t>
            </w:r>
          </w:p>
        </w:tc>
        <w:tc>
          <w:tcPr>
            <w:tcW w:type="dxa" w:w="3240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Must not do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Frontend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Render server-provided score/explanation/action state and issue authenticated commands.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Calculate scores or contain policy logic that changes outcomes.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Express API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Enforce tenant/role access, orchestrate services, write audit events, expose versioned endpoints.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Directly load model artifacts in request process.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Model API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Validate model-compatible features and return versioned prediction/loss/explanation.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Decide which customer action is legally or operationally allowed.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Decision service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Apply versioned policy rules and rank eligible recommendations.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Overwrite a source prediction or conceal a disallowed action.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Worker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Run idempotent, retryable background jobs and publish status events.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Perform irreversible external action without explicit command/approval.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Database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Store versioned facts, decisions, outcomes, and audit history by tenant.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Serve unbounded analytic scans to UI.</w:t>
            </w:r>
          </w:p>
        </w:tc>
      </w:tr>
    </w:tbl>
    <w:p>
      <w:pPr>
        <w:spacing w:after="20"/>
      </w:pPr>
    </w:p>
    <w:p>
      <w:pPr>
        <w:pStyle w:val="Heading1"/>
      </w:pPr>
      <w:r>
        <w:t>4. Core data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54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08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tenant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id, name, timezone, currency, status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Every business record belongs to one tenant.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order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id, tenant_id, external_order_id, customer_ref, order_at, price, category, payment_method, promised_delivery_at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Normalized merchant facts; tokenize/minimize PII.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order_feature_snapshot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id, order_id, feature_schema_version, payload, source_timestamp, quality_status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Immutable score input enables reproducibility.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risk_assessment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id, order_id, model_version, risk_probability, risk_band, confidence, estimated_loss, scored_at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Append-only; one assessment marked current.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risk_explanation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assessment_id, factor_key, display_text, direction, contribution_rank, evidence_value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Plain language; no prohibited/sensitive field exposure.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recommendation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id, assessment_id, policy_version, action_type, expected_benefit, rationale, status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Primary or alternative lifecycle.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action_decision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id, recommendation_id, actor_id, decision, reason, executed_at, external_ref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Immutable operator/audit record.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order_outcome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order_id, returned, return_reason, refund_amount, reverse_logistics_cost, confirmed_at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Late-arriving data updates impact calculation.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audit_event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id, tenant_id, actor, type, before, after, correlation_id, occurred_at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Append-only and PII-minimized.</w:t>
            </w:r>
          </w:p>
        </w:tc>
      </w:tr>
    </w:tbl>
    <w:p>
      <w:pPr>
        <w:spacing w:after="20"/>
      </w:pPr>
    </w:p>
    <w:p>
      <w:pPr>
        <w:pStyle w:val="Heading1"/>
      </w:pPr>
      <w:r>
        <w:t>5. Scoring, loss estimation, and explainability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777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requirement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Feature contract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Python service validates named, typed features. Missing/invalid inputs return structured unscored response; no silent defaulting for critical fields.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Return model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Versioned binary classifier produces calibrated probability. Store training data version, schema, threshold policy, and calibration method with release.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Loss model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Regression estimates direct loss from refund, reverse logistics, handling, recovery estimate, and merchant-configurable costs.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Confidence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Return coverage/data-quality signal. Low confidence is never rendered as precise prediction.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Explanation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Use SHAP-compatible local contributors mapped through reviewed plain-language explanation catalog.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Governance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Exclude protected attributes/proxies unless reviewed. Monitor operational cohorts rather than sensitive identity.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Feedback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Actions and outcomes create evaluation data; no auto-training production model without validation/approval.</w:t>
            </w:r>
          </w:p>
        </w:tc>
      </w:tr>
    </w:tbl>
    <w:p>
      <w:pPr>
        <w:spacing w:after="20"/>
      </w:pPr>
    </w:p>
    <w:p>
      <w:pPr>
        <w:pStyle w:val="Heading1"/>
      </w:pPr>
      <w:r>
        <w:t>6. Recommendation engine</w:t>
      </w:r>
    </w:p>
    <w:p>
      <w:r>
        <w:t>Start with a deterministic, versioned policy layer before a learned optimizer. This makes interventions explainable and operationally safe.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Aptos Mono" w:hAnsi="Aptos Mono" w:eastAsia="Aptos Mono"/>
                <w:color w:val="172033"/>
                <w:sz w:val="14"/>
              </w:rPr>
              <w:t>Inputs: risk_probability, estimated_loss, confidence, delivery_cutoff,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 xml:space="preserve">        product attributes, payment method, customer history, merchant policy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1. Reject action if score is stale, confidence insufficient, or data invalid.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2. Determine priority = f(expected_loss, risk_band, urgency, policy severity).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3. Retrieve eligible actions and enforce policy/channel constraints.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4. Rank action by expected benefit minus operational/customer-friction cost.</w:t>
            </w:r>
          </w:p>
          <w:p>
            <w:pPr>
              <w:spacing w:after="0"/>
            </w:pPr>
            <w:r>
              <w:rPr>
                <w:rFonts w:ascii="Aptos Mono" w:hAnsi="Aptos Mono" w:eastAsia="Aptos Mono"/>
                <w:color w:val="172033"/>
                <w:sz w:val="14"/>
              </w:rPr>
              <w:t>5. Return primary action, alternatives, guardrails, owner, and policy version.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Action type</w:t>
            </w:r>
          </w:p>
        </w:tc>
        <w:tc>
          <w:tcPr>
            <w:tcW w:type="dxa" w:w="482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Example eligibility</w:t>
            </w:r>
          </w:p>
        </w:tc>
        <w:tc>
          <w:tcPr>
            <w:tcW w:type="dxa" w:w="266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Execution mode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OTP verification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COD or high-loss order before delivery cutoff.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OMS/delivery API command or manual task.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Exchange-first offer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Exchangeable SKU and merchant policy enabled.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CX task or return-portal offer intent.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Manual inspection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Fragile or high damage-risk product in fulfillment.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Warehouse task with SLA and evidence.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Delivery priority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Delay contribution high and carrier route eligible.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Carrier escalation / partner integration.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COD restriction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Approved fraud/risk rule and permitted policy.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Explicit policy and audit; never client-side.</w:t>
            </w:r>
          </w:p>
        </w:tc>
      </w:tr>
    </w:tbl>
    <w:p>
      <w:pPr>
        <w:spacing w:after="20"/>
      </w:pPr>
    </w:p>
    <w:p>
      <w:pPr>
        <w:pStyle w:val="Heading1"/>
      </w:pPr>
      <w:r>
        <w:t>7. API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080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554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/v1/orders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POST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Idempotent normalized order create/update; validates tenant and required fields.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/v1/orders/{id}/assessments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POST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Request synchronous score or enqueue job; returns assessment/status.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/v1/orders/{id}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GET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Order, assessment, explanation, recommendation, actions, outcomes by role.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/v1/risk-queue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GET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Paged/filterable/sortable operational queue with priority and SLA.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/v1/dashboard/overview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GET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Filter-scoped KPIs, trends, exposure and priority-action summaries.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/v1/recommendations/{id}/decision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POST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Apply, assign, defer, reject, or override; create audit event.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/v1/outcomes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POST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Ingest return/refund outcomes; deduplicate by external reference.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/v1/policies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GET/POST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Read/version playbooks; admin required for mutations.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/v1/model-health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GET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Coverage, latency, calibration, drift, quality, model release.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/healthz, /readyz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GET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Liveness/readiness for application and model service.</w:t>
            </w:r>
          </w:p>
        </w:tc>
      </w:tr>
    </w:tbl>
    <w:p>
      <w:pPr>
        <w:spacing w:after="20"/>
      </w:pPr>
    </w:p>
    <w:p>
      <w:pPr>
        <w:pStyle w:val="Heading1"/>
      </w:pPr>
      <w:r>
        <w:t>8. Security, privacy, and audit</w:t>
      </w:r>
    </w:p>
    <w:p>
      <w:pPr>
        <w:pStyle w:val="ListBullet"/>
        <w:spacing w:after="40"/>
      </w:pPr>
      <w:r>
        <w:t>OIDC/OAuth2 with short-lived access tokens; validate tenant and role on every request. Never trust tenant ID from browser input.</w:t>
      </w:r>
    </w:p>
    <w:p>
      <w:pPr>
        <w:pStyle w:val="ListBullet"/>
        <w:spacing w:after="40"/>
      </w:pPr>
      <w:r>
        <w:t>TLS in transit and managed encryption at rest; secrets belong in managed secret storage, never repository configuration.</w:t>
      </w:r>
    </w:p>
    <w:p>
      <w:pPr>
        <w:pStyle w:val="ListBullet"/>
        <w:spacing w:after="40"/>
      </w:pPr>
      <w:r>
        <w:t>Minimize PII with tenant-scoped references; mask sensitive fields in UI, logs, exports, and explanations.</w:t>
      </w:r>
    </w:p>
    <w:p>
      <w:pPr>
        <w:pStyle w:val="ListBullet"/>
        <w:spacing w:after="40"/>
      </w:pPr>
      <w:r>
        <w:t>Write immutable audit events for source changes, scoring, model/policy releases, decisions, exports, and admin actions.</w:t>
      </w:r>
    </w:p>
    <w:p>
      <w:pPr>
        <w:pStyle w:val="ListBullet"/>
        <w:spacing w:after="40"/>
      </w:pPr>
      <w:r>
        <w:t>Set retention/deletion and export approval policy before production. Rate-limit ingestion and decision endpoints; validate schema inputs.</w:t>
      </w:r>
    </w:p>
    <w:p>
      <w:pPr>
        <w:pStyle w:val="Heading1"/>
      </w:pPr>
      <w:r>
        <w:t>9. Reliability, observability, and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70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Availability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Services expose liveness/readiness. On failure, show last-known assessment with timestamp, never an unlabelled action.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Idempotency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Order/outcome ingestion supports idempotency keys/external refs. Worker jobs are deduplicated and safely retried.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Caching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Short-TTL tenant/filter-scoped aggregates. Refresh after relevant action/outcome event; never cache auth without tenant key.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Database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Index tenant plus date, current assessment/risk band, external ID, and queue dimensions. Use aggregate tables for trends.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Target scale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Batch design supports 100k orders/day/tenant; APIs remain stateless and horizontally scalable. Validate actual target during discovery.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Backups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Point-in-time transactional DB recovery and versioned object storage for models/import evidence.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Signals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Track p95 latency/error rate/queue depth, feature quality, score distribution/calibration, action SLA, and customer-harm guardrails.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748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Unit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Feature transforms, priority formula, policy predicates, amount calculations, validators, explanation text mapping.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Contract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OpenAPI checks for React/Express and Express/FastAPI including missing-feature/stale-model responses.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Integration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Idempotent ingest, retries, audit integrity, RBAC/tenant isolation, policy decision lifecycle.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Model validation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Holdout metrics, calibration, cohort checks, schema compatibility, explanation sanity, rollback.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E2E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Critical order arrives, analyst inspects explanation, applies action, sees audit and later outcome.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Security/performance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Authorization-negative tests, PII/log scanning, dependency checks, rate limits, queue/dashboard/scoring load tests.</w:t>
            </w:r>
          </w:p>
        </w:tc>
      </w:tr>
    </w:tbl>
    <w:p>
      <w:pPr>
        <w:spacing w:after="20"/>
      </w:pPr>
    </w:p>
    <w:p>
      <w:pPr>
        <w:pStyle w:val="Heading1"/>
      </w:pPr>
      <w:r>
        <w:t>10. Deployment and delivery sequence</w:t>
      </w:r>
    </w:p>
    <w:p>
      <w:pPr>
        <w:pStyle w:val="ListNumber"/>
        <w:spacing w:after="40"/>
      </w:pPr>
      <w:r>
        <w:t>Create monorepo: apps/web, apps/api, services/model-api, workers, packages/contracts, and infrastructure modules.</w:t>
      </w:r>
    </w:p>
    <w:p>
      <w:pPr>
        <w:pStyle w:val="ListNumber"/>
        <w:spacing w:after="40"/>
      </w:pPr>
      <w:r>
        <w:t>Implement ingestion, PostgreSQL migrations, RBAC/tenant middleware, audit service, and OpenAPI contract.</w:t>
      </w:r>
    </w:p>
    <w:p>
      <w:pPr>
        <w:pStyle w:val="ListNumber"/>
        <w:spacing w:after="40"/>
      </w:pPr>
      <w:r>
        <w:t>Build batch scoring and model registry with reproducible feature snapshots and baseline model artifacts.</w:t>
      </w:r>
    </w:p>
    <w:p>
      <w:pPr>
        <w:pStyle w:val="ListNumber"/>
        <w:spacing w:after="40"/>
      </w:pPr>
      <w:r>
        <w:t>Build dashboard overview, queue, order intelligence, and decision workflow against mocked then live contracts.</w:t>
      </w:r>
    </w:p>
    <w:p>
      <w:pPr>
        <w:pStyle w:val="ListNumber"/>
        <w:spacing w:after="40"/>
      </w:pPr>
      <w:r>
        <w:t>Add alerts, aggregates, policy admin, health screens, integrations, retries, and observability.</w:t>
      </w:r>
    </w:p>
    <w:p>
      <w:pPr>
        <w:pStyle w:val="ListNumber"/>
        <w:spacing w:after="40"/>
      </w:pPr>
      <w:r>
        <w:t>Run limited pilot, validate outcomes and workflow, then harden performance/security for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"/>
            <w:shd w:fill="00A6A6"/>
          </w:tcPr>
          <w:p/>
        </w:tc>
        <w:tc>
          <w:tcPr>
            <w:tcW w:type="dxa" w:w="9533"/>
            <w:shd w:fill="EFF4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20"/>
            </w:pPr>
            <w:r/>
            <w:r>
              <w:rPr>
                <w:rFonts w:ascii="Aptos Display" w:hAnsi="Aptos Display"/>
                <w:b/>
                <w:color w:val="0B1627"/>
                <w:sz w:val="19"/>
              </w:rPr>
              <w:t xml:space="preserve">Implementation decision  </w:t>
            </w:r>
            <w:r>
              <w:rPr>
                <w:color w:val="172033"/>
                <w:sz w:val="18"/>
              </w:rPr>
              <w:t>Prefer PostgreSQL for MVP because the platform needs strong relationships, filtered queues, audit history, and aggregate analytics. MongoDB remains useful for variable raw imports, but transactional facts/reporting should be normalized or projected into PostgreSQL.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16174"/>
        <w:sz w:val="15"/>
      </w:rPr>
      <w:t xml:space="preserve">ReturnShield AI | Technical Requirements Document | Confidential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 w:eastAsia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6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A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6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62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