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RESPONSE TO REQUEST FOR PROPOSAL</w:t>
      </w:r>
    </w:p>
    <w:p>
      <w:pPr>
        <w:spacing w:after="120"/>
        <w:jc w:val="center"/>
      </w:pPr>
      <w:r>
        <w:rPr>
          <w:rFonts w:ascii="Arial" w:cs="Arial" w:eastAsia="Arial" w:hAnsi="Arial"/>
          <w:color w:val="000000"/>
          <w:sz w:val="32"/>
          <w:szCs w:val="32"/>
        </w:rPr>
        <w:t xml:space="preserve">Cloud Migration &amp; Platform Modernisation Services</w:t>
      </w:r>
    </w:p>
    <w:p>
      <w:pPr>
        <w:pBdr>
          <w:bottom w:val="single" w:color="CCCCCC" w:sz="2" w:space="6"/>
        </w:pBdr>
        <w:spacing w:before="200" w:after="200"/>
      </w:pPr>
    </w:p>
    <w:p>
      <w:p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Submitted to: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NexaRetail Pvt Ltd, Mumbai</w:t>
      </w:r>
    </w:p>
    <w:p>
      <w:p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Submitted by: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Dexter Corp Pvt Ltd, Chennai</w:t>
      </w:r>
    </w:p>
    <w:p>
      <w:p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Date: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March 15, 2026</w:t>
      </w:r>
    </w:p>
    <w:p>
      <w:p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Proposal Ref: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DXC-2026-NXR-001</w:t>
      </w:r>
    </w:p>
    <w:p>
      <w:pPr>
        <w:spacing w:after="3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Validity: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30 days from submission date</w:t>
      </w:r>
    </w:p>
    <w:p>
      <w:pPr>
        <w:pStyle w:val="Heading1"/>
        <w:pBdr>
          <w:bottom w:val="single" w:color="1F4E79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Executive Summary</w:t>
      </w:r>
    </w:p>
    <w:p>
      <w:pPr>
        <w:spacing w:after="1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Dexter Corp is pleased to respond to NexaRetail's Request for Proposal for the migration of their legacy on-premise retail management platform to AWS and the modernisation of three core monolithic services into a microservices architecture.</w:t>
      </w:r>
    </w:p>
    <w:p>
      <w:pPr>
        <w:spacing w:after="1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 propose a phased 18-month engagement valued at ₹85,00,000 (INR). Based on our recently completed Cloud Migration engagement for RetailMart India (₹1.1 Crore, 2023–2024) — a directly comparable retail platform — we are confident in our ability to deliver on time and within budget.</w:t>
      </w:r>
    </w:p>
    <w:p>
      <w:pPr>
        <w:spacing w:after="1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Dexter Corp has been building enterprise software since April 2022. In under 4 years, we have delivered 6 completed projects with a 100% on-time record, and our current ARR of ₹23.7 Crore (March 2026) reflects the trust our clients place in our delivery.</w:t>
      </w:r>
    </w:p>
    <w:p>
      <w:pPr>
        <w:pStyle w:val="Heading1"/>
        <w:pBdr>
          <w:bottom w:val="single" w:color="1F4E79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Understanding of Requirements</w:t>
      </w:r>
    </w:p>
    <w:p>
      <w:pPr>
        <w:spacing w:after="1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Based on the RFP and our discovery call with Deepa Menon (CTO, NexaRetail) on March 5, 2026, we understand the following key requirements: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Approach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Migrate legacy Oracle DB (400GB) to AWS RDS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 migration using AWS DMS with parallel-run validation period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Re-architect 3 monolithic services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Strangler Fig pattern — incremental decomposition, zero big-bang risk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Zero-downtime migration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Blue-green deployments + feature flags for all production cutover events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 analytics dashboard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frontend + AWS Redshift + daily ETL via Apache Airflow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CI/CD pipeline setup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Actions + AWS CodeDeploy + automated testing gate at every stage</w:t>
            </w:r>
          </w:p>
        </w:tc>
      </w:tr>
    </w:tbl>
    <w:p>
      <w:pPr>
        <w:pStyle w:val="Heading1"/>
        <w:pBdr>
          <w:bottom w:val="single" w:color="1F4E79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Proposed Solution &amp; Phases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Phase 1 — Assessment &amp; Blueprint (Months 1–2)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Infrastructure audit: inventory of 22 identified on-premise services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Dependency mapping using AWS Application Discovery Service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Target architecture design document (approved by NexaRetail CTO)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Risk register and mitigation plan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Deliverable: Cloud Migration Blueprint — sign-off required before Phase 2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Phase 2 — Foundation &amp; Lift-and-Shift (Months 3–9)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AWS Landing Zone: VPC, IAM roles, S3, CloudFront, Route53 setup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Database migration: Oracle → PostgreSQL 16 on AWS RDS Multi-AZ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Lift-and-shift of 16 non-critical services via AWS DMS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CI/CD pipeline: GitHub Actions → ECR → ECS Fargate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Milestone: All non-critical services live on AWS; Oracle decommissioned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Phase 3 — Microservices Modernisation (Months 10–16)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Re-architect: Inventory Service, Order Management Service, Customer Service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API Gateway layer (AWS API Gateway + custom request routing)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Event-driven communication via Amazon SQS between services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Real-time analytics: Redshift + Airflow ETL + React dashboard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Load testing: 10,000 concurrent users simulation using Locust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E6655"/>
          <w:sz w:val="24"/>
          <w:szCs w:val="24"/>
        </w:rPr>
        <w:t xml:space="preserve">Phase 4 — Stabilisation &amp; Handover (Months 17–18)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Performance optimisation and cost right-sizing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Full documentation: runbooks, architecture diagrams, DR playbook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Team knowledge transfer (3 sessions with NexaRetail engineering team)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3-month hypercare support post-handover at no additional cost</w:t>
      </w:r>
    </w:p>
    <w:p>
      <w:pPr>
        <w:pStyle w:val="Heading1"/>
        <w:pBdr>
          <w:bottom w:val="single" w:color="1F4E79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Proposed Team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Experience</w:t>
            </w:r>
          </w:p>
        </w:tc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Engagement Lead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Karthik Suresh (CEO)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 years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20% (oversight)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Lavanya Iyer (Sr PM)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years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 Architect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Meena Krishnan (Lead)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 years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 Engineer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Akash Verma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years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Engineer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Arun Krishnamurthy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years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Engineer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Kavya Reddy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years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 Engineer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Vivek Pillai (Sr)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 years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QA Lead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Anil Kumar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 years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60%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Engineer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Deepak Ghosh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years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60%</w:t>
            </w:r>
          </w:p>
        </w:tc>
      </w:tr>
    </w:tbl>
    <w:p>
      <w:pPr>
        <w:pStyle w:val="Heading1"/>
        <w:pBdr>
          <w:bottom w:val="single" w:color="1F4E79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Commercial Proposal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shd w:fill="1F4E79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Engagement Value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₹85,00,000 (INR) exclusive of GST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1 — Assessment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₹8,00,000 — payable on contract signing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2 — Foundation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₹32,00,000 — payable on Phase 2 completion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3 — Modernisation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₹35,00,000 — payable on Phase 3 completion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4 — Stabilisation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₹10,00,000 — payable on final sign-off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Post-Delivery AMC (Optional)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₹12,75,000/year (15% of project value)</w:t>
            </w:r>
          </w:p>
        </w:tc>
      </w:tr>
      <w:tr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 Terms</w:t>
            </w:r>
          </w:p>
        </w:tc>
        <w:tc>
          <w:tcPr>
            <w:shd w:fill="F7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 30 from invoice date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Validity of Proposal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 days from March 15, 2026</w:t>
            </w:r>
          </w:p>
        </w:tc>
      </w:tr>
    </w:tbl>
    <w:p>
      <w:pPr>
        <w:pStyle w:val="Heading1"/>
        <w:pBdr>
          <w:bottom w:val="single" w:color="1F4E79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Why Dexter Corp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Directly comparable delivered project: RetailMart India cloud migration (₹1.1 Crore, on time)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AWS Advanced Consulting Partner with certified architects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4 years of enterprise delivery — 12 active clients, 6 completed projects, 0 missed deadlines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Entire delivery team is in Chennai — no offshore handoffs, no timezone gaps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Client NPS: 74 (as of Q4 FY25-26)</w:t>
      </w:r>
    </w:p>
    <w:p>
      <w:pPr>
        <w:spacing w:after="8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3-month hypercare included — no additional cost</w:t>
      </w:r>
    </w:p>
    <w:p>
      <w:pPr>
        <w:pBdr>
          <w:bottom w:val="single" w:color="CCCCCC" w:sz="2" w:space="6"/>
        </w:pBdr>
        <w:spacing w:before="200"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Dexter Corp Pvt Ltd  |  4th Floor, Prestige Tech Park, OMR, Chennai – 600119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contact@dextercorp.in  |  +91 44 4567 8901  |  www.dextercorp.in</w:t>
      </w:r>
    </w:p>
    <w:sectPr>
      <w:headerReference w:type="default" r:id="rId6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DEXTER CORP</w:t>
    </w:r>
    <w:r>
      <w:rPr>
        <w:rFonts w:ascii="Arial" w:cs="Arial" w:eastAsia="Arial" w:hAnsi="Arial"/>
        <w:color w:val="595959"/>
        <w:sz w:val="18"/>
        <w:szCs w:val="18"/>
      </w:rPr>
      <w:t xml:space="preserve">   |   Proposal: Cloud Migration &amp; Modernisation — NexaRetail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2026-03-26T04:35:56.370Z</dcterms:created>
  <dcterms:modified xsi:type="dcterms:W3CDTF">2026-03-26T04:35:56.370Z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