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0"/>
        </w:rPr>
        <w:t>One-on-One Notes: Christopher Morris and Sandra Chen</w:t>
      </w:r>
    </w:p>
    <w:p>
      <w:r>
        <w:rPr>
          <w:i/>
          <w:color w:val="555555"/>
          <w:sz w:val="19"/>
        </w:rPr>
        <w:t>Weekly, Thursdays 2:00 PM  |  Private working notes kept by Christopher</w:t>
      </w:r>
    </w:p>
    <w:p/>
    <w:p>
      <w:r>
        <w:rPr>
          <w:b/>
          <w:color w:val="1F3A5F"/>
          <w:sz w:val="24"/>
        </w:rPr>
        <w:t>Thursday, October 8, 2026</w:t>
      </w:r>
    </w:p>
    <w:p>
      <w:pPr>
        <w:pStyle w:val="ListBullet"/>
      </w:pPr>
      <w:r>
        <w:t>Reviewed BenefitInsight Phase 3 training schedule. Sandra approved the October 26 client week.</w:t>
      </w:r>
    </w:p>
    <w:p>
      <w:pPr>
        <w:pStyle w:val="ListBullet"/>
      </w:pPr>
      <w:r>
        <w:t>Priya is ahead on validation, three accounts cleared with zero discrepancies.</w:t>
      </w:r>
    </w:p>
    <w:p>
      <w:pPr>
        <w:pStyle w:val="ListBullet"/>
      </w:pPr>
      <w:r>
        <w:t>Raised the adoption risk again. Sandra agreed to keep the legacy workbook available through January.</w:t>
      </w:r>
    </w:p>
    <w:p>
      <w:r>
        <w:rPr>
          <w:b/>
          <w:color w:val="1F3A5F"/>
          <w:sz w:val="24"/>
        </w:rPr>
        <w:t>Thursday, October 22, 2026</w:t>
      </w:r>
    </w:p>
    <w:p>
      <w:pPr>
        <w:pStyle w:val="ListBullet"/>
      </w:pPr>
      <w:r>
        <w:t>Go-live confirmed for November 18. Mike will stagger the two largest accounts that week.</w:t>
      </w:r>
    </w:p>
    <w:p>
      <w:pPr>
        <w:pStyle w:val="ListBullet"/>
      </w:pPr>
      <w:r>
        <w:t>Discussed my December knee follow-up, will work remote that afternoon.</w:t>
      </w:r>
    </w:p>
    <w:p>
      <w:pPr>
        <w:pStyle w:val="ListBullet"/>
      </w:pPr>
      <w:r>
        <w:t>Sandra flagged a possible new mid-size client for Q1, would land on my plate.</w:t>
      </w:r>
    </w:p>
    <w:p>
      <w:r>
        <w:rPr>
          <w:b/>
          <w:color w:val="1F3A5F"/>
          <w:sz w:val="24"/>
        </w:rPr>
        <w:t>Thursday, November 12, 2026</w:t>
      </w:r>
    </w:p>
    <w:p>
      <w:pPr>
        <w:pStyle w:val="ListBullet"/>
      </w:pPr>
      <w:r>
        <w:t>Final dry run complete. Priya led the client portal demo and did well.</w:t>
      </w:r>
    </w:p>
    <w:p>
      <w:pPr>
        <w:pStyle w:val="ListBullet"/>
      </w:pPr>
      <w:r>
        <w:t>Agreed I will write the plain language one page summary for each client by November 16.</w:t>
      </w:r>
    </w:p>
    <w:p>
      <w:pPr>
        <w:pStyle w:val="ListBullet"/>
      </w:pPr>
      <w:r>
        <w:t>Thanksgiving coverage: I am out November 26 and 27, Trisha has the desk.</w:t>
      </w:r>
    </w:p>
    <w:p>
      <w:r>
        <w:rPr>
          <w:b/>
          <w:color w:val="1F3A5F"/>
          <w:sz w:val="24"/>
        </w:rPr>
        <w:t>Thursday, December 10, 2026</w:t>
      </w:r>
    </w:p>
    <w:p>
      <w:pPr>
        <w:pStyle w:val="ListBullet"/>
      </w:pPr>
      <w:r>
        <w:t>Two weeks post go-live, no critical issues. Two clients asked for added context on rate drivers.</w:t>
      </w:r>
    </w:p>
    <w:p>
      <w:pPr>
        <w:pStyle w:val="ListBullet"/>
      </w:pPr>
      <w:r>
        <w:t>Priya is ready for more account ownership in Q1, I recommended a small raise at review time.</w:t>
      </w:r>
    </w:p>
    <w:p>
      <w:pPr>
        <w:pStyle w:val="ListBullet"/>
      </w:pPr>
      <w:r>
        <w:t>Next: January renewal season prep, first batch due mid January.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