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0"/>
        </w:rPr>
        <w:t>BenefitInsight Analytics Platform</w:t>
      </w:r>
    </w:p>
    <w:p>
      <w:r>
        <w:rPr>
          <w:b/>
          <w:color w:val="555555"/>
          <w:sz w:val="26"/>
        </w:rPr>
        <w:t>Implementation and Rollout Plan</w:t>
      </w:r>
    </w:p>
    <w:p>
      <w:r>
        <w:rPr>
          <w:i/>
          <w:color w:val="555555"/>
          <w:sz w:val="19"/>
        </w:rPr>
        <w:t>Meridian Benefits Group  |  Confidential, internal use only</w:t>
      </w:r>
    </w:p>
    <w:p>
      <w:r>
        <w:rPr>
          <w:i/>
          <w:color w:val="555555"/>
          <w:sz w:val="19"/>
        </w:rPr>
        <w:t>Document owner: Christopher Morris, Senior Benefits Analyst  |  Revision 3, last updated February 16, 2026</w:t>
      </w:r>
    </w:p>
    <w:p/>
    <w:p>
      <w:r>
        <w:rPr>
          <w:b/>
          <w:color w:val="1F3A5F"/>
          <w:sz w:val="24"/>
        </w:rPr>
        <w:t>1. Objective</w:t>
      </w:r>
    </w:p>
    <w:p>
      <w:r>
        <w:t>Replace the manual renewal modeling workbooks with the BenefitInsight platform across all 12 mid-size client accounts, with a phased go-live targeted for November 18, 2026 ahead of the January renewal season.</w:t>
      </w:r>
    </w:p>
    <w:p>
      <w:r>
        <w:rPr>
          <w:b/>
          <w:color w:val="1F3A5F"/>
          <w:sz w:val="24"/>
        </w:rPr>
        <w:t>2. Stakeholders</w:t>
      </w:r>
    </w:p>
    <w:p>
      <w:pPr>
        <w:pStyle w:val="ListBullet"/>
      </w:pPr>
      <w:r>
        <w:t>Sandra Chen, Director of Client Services (sponsor)</w:t>
      </w:r>
    </w:p>
    <w:p>
      <w:pPr>
        <w:pStyle w:val="ListBullet"/>
      </w:pPr>
      <w:r>
        <w:t>Christopher Morris, project lead and analyst owner</w:t>
      </w:r>
    </w:p>
    <w:p>
      <w:pPr>
        <w:pStyle w:val="ListBullet"/>
      </w:pPr>
      <w:r>
        <w:t>Priya Desai, junior analyst, data validation and testing</w:t>
      </w:r>
    </w:p>
    <w:p>
      <w:pPr>
        <w:pStyle w:val="ListBullet"/>
      </w:pPr>
      <w:r>
        <w:t>Mike Poletti, large-group account migration</w:t>
      </w:r>
    </w:p>
    <w:p>
      <w:pPr>
        <w:pStyle w:val="ListBullet"/>
      </w:pPr>
      <w:r>
        <w:t>Trisha Gunderson, admin coordinator, scheduling and client comms</w:t>
      </w:r>
    </w:p>
    <w:p>
      <w:pPr>
        <w:pStyle w:val="ListBullet"/>
      </w:pPr>
      <w:r>
        <w:t>BenefitInsight vendor team, biweekly Friday call at 11:00 AM</w:t>
      </w:r>
    </w:p>
    <w:p>
      <w:r>
        <w:rPr>
          <w:b/>
          <w:color w:val="1F3A5F"/>
          <w:sz w:val="24"/>
        </w:rPr>
        <w:t>3. Phases and Milestones</w:t>
      </w:r>
    </w:p>
    <w:p>
      <w:pPr>
        <w:pStyle w:val="ListBullet"/>
      </w:pPr>
      <w:r>
        <w:t>Phase 1 (complete, January 2026): data mapping and field validation for 3 pilot clients.</w:t>
      </w:r>
    </w:p>
    <w:p>
      <w:pPr>
        <w:pStyle w:val="ListBullet"/>
      </w:pPr>
      <w:r>
        <w:t>Phase 2 (complete, February 2026): renewal logic parity testing against legacy workbooks.</w:t>
      </w:r>
    </w:p>
    <w:p>
      <w:pPr>
        <w:pStyle w:val="ListBullet"/>
      </w:pPr>
      <w:r>
        <w:t>Phase 3 (October 2026): client portal training and dry run with Priya leading validation.</w:t>
      </w:r>
    </w:p>
    <w:p>
      <w:pPr>
        <w:pStyle w:val="ListBullet"/>
      </w:pPr>
      <w:r>
        <w:t>Phase 4 (November 18, 2026): production go-live for all 12 accounts.</w:t>
      </w:r>
    </w:p>
    <w:p>
      <w:pPr>
        <w:pStyle w:val="ListBullet"/>
      </w:pPr>
      <w:r>
        <w:t>Phase 5 (December 2026): post go-live monitoring and client feedback review.</w:t>
      </w:r>
    </w:p>
    <w:p>
      <w:r>
        <w:rPr>
          <w:b/>
          <w:color w:val="1F3A5F"/>
          <w:sz w:val="24"/>
        </w:rPr>
        <w:t>4. Risks and Mitigations</w:t>
      </w:r>
    </w:p>
    <w:p>
      <w:r>
        <w:t>The main risk is client adoption rather than technology. If clients do not understand the tradeoffs behind the modeled rates, the tool will be blamed for outcomes it only reports. Mitigation: every client gets a guided walkthrough and a one page summary written in plain language, and the legacy workbook stays available in read only form through January.</w:t>
      </w:r>
    </w:p>
    <w:p>
      <w:r>
        <w:t>Secondary risk: a thin testing window in October. Mitigation: Priya runs parallel validation on three accounts per week and logs every discrepancy for sign off before go-live.</w:t>
      </w:r>
    </w:p>
    <w:p>
      <w:r>
        <w:rPr>
          <w:b/>
          <w:color w:val="1F3A5F"/>
          <w:sz w:val="24"/>
        </w:rPr>
        <w:t>5. Open Items</w:t>
      </w:r>
    </w:p>
    <w:p>
      <w:pPr>
        <w:pStyle w:val="ListBullet"/>
      </w:pPr>
      <w:r>
        <w:t>Confirm final training dates with Trisha for the week of October 26.</w:t>
      </w:r>
    </w:p>
    <w:p>
      <w:pPr>
        <w:pStyle w:val="ListBullet"/>
      </w:pPr>
      <w:r>
        <w:t>Lock vendor support coverage for go-live week.</w:t>
      </w:r>
    </w:p>
    <w:p>
      <w:pPr>
        <w:pStyle w:val="ListBullet"/>
      </w:pPr>
      <w:r>
        <w:t>Decide whether to stagger the two largest accounts (Mike to advise).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