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Client Meeting Notes: Appalachian Building Supply</w:t>
      </w:r>
    </w:p>
    <w:p>
      <w:r>
        <w:t>Date: October 14, 2026</w:t>
      </w:r>
    </w:p>
    <w:p>
      <w:r>
        <w:t>Attendees: Floyd Whitaker, Brandon Whitaker, Dave Robertson (Client)</w:t>
      </w:r>
    </w:p>
    <w:p/>
    <w:p>
      <w:r>
        <w:t>- Dave reported an issue with a delayed flatbed delivery last week.</w:t>
      </w:r>
    </w:p>
    <w:p>
      <w:r>
        <w:t>- Floyd let Brand handle the explanation. Brand correctly identified the weather delay over the mountains and showed Dave the GPS logs from the carrier.</w:t>
      </w:r>
    </w:p>
    <w:p>
      <w:r>
        <w:t>- Dave appreciated the transparency but requested a slight discount on the next load.</w:t>
      </w:r>
    </w:p>
    <w:p>
      <w:r>
        <w:t>- Floyd agreed to waive the brokerage fee on the next shipment to maintain the relationship.</w:t>
      </w:r>
    </w:p>
    <w:p>
      <w:r>
        <w:t>- Floyd's note to Brand: Good job staying calm. Always bring the data to the client, it diffuses the anger.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