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Whitaker Freight Services - Year-End Review 2026</w:t>
      </w:r>
    </w:p>
    <w:p>
      <w:r>
        <w:t>Prepared: December 18, 2026. Owner: Floyd Whitaker.</w:t>
      </w:r>
    </w:p>
    <w:p>
      <w:pPr>
        <w:pStyle w:val="Heading2"/>
      </w:pPr>
      <w:r>
        <w:t>2026 Results</w:t>
      </w:r>
    </w:p>
    <w:p>
      <w:pPr>
        <w:pStyle w:val="ListBullet"/>
      </w:pPr>
      <w:r>
        <w:t>Active clients held in the 30 to 40 range across Southeast and Midwest corridors.</w:t>
      </w:r>
    </w:p>
    <w:p>
      <w:pPr>
        <w:pStyle w:val="ListBullet"/>
      </w:pPr>
      <w:r>
        <w:t>Brand completed junior associate onboarding and now runs independent load matching.</w:t>
      </w:r>
    </w:p>
    <w:p>
      <w:pPr>
        <w:pStyle w:val="ListBullet"/>
      </w:pPr>
      <w:r>
        <w:t>Adopted RoutePoint Logistics Suite for full DOT compliance integration.</w:t>
      </w:r>
    </w:p>
    <w:p>
      <w:pPr>
        <w:pStyle w:val="Heading2"/>
      </w:pPr>
      <w:r>
        <w:t>2027 Priorities</w:t>
      </w:r>
    </w:p>
    <w:p>
      <w:pPr>
        <w:pStyle w:val="ListBullet"/>
      </w:pPr>
      <w:r>
        <w:t>Grow automotive parts and building materials lanes.</w:t>
      </w:r>
    </w:p>
    <w:p>
      <w:pPr>
        <w:pStyle w:val="ListBullet"/>
      </w:pPr>
      <w:r>
        <w:t>Expand the Tennessee Freight Mentorship Program to a second cohort.</w:t>
      </w:r>
    </w:p>
    <w:p>
      <w:pPr>
        <w:pStyle w:val="ListBullet"/>
      </w:pPr>
      <w:r>
        <w:t>Continue Brand's transition toward broader account ownership.</w:t>
      </w:r>
    </w:p>
    <w:p>
      <w:r>
        <w:t>Review scheduled with Wayne Prater in the new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