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Sales Forecasting &amp; Demand Intelligence</w:t>
      </w:r>
    </w:p>
    <w:p>
      <w:pPr>
        <w:spacing w:after="200"/>
      </w:pPr>
      <w:r>
        <w:rPr>
          <w:color w:val="4B5563"/>
          <w:sz w:val="24"/>
          <w:szCs w:val="24"/>
        </w:rPr>
        <w:t xml:space="preserve">Executive Business Report — Superstore Sales (2015–2018)</w:t>
      </w:r>
    </w:p>
    <w:p>
      <w:pPr>
        <w:pBdr>
          <w:bottom w:val="single" w:color="999999" w:sz="6" w:space="4"/>
        </w:pBdr>
        <w:spacing w:after="200"/>
      </w:pPr>
    </w:p>
    <w:p>
      <w:pPr>
        <w:pStyle w:val="Heading1"/>
        <w:spacing w:after="120" w:before="240"/>
      </w:pPr>
      <w:r>
        <w:t xml:space="preserve">Executive Summary</w:t>
      </w:r>
    </w:p>
    <w:p>
      <w:pPr>
        <w:spacing w:after="160"/>
      </w:pPr>
      <w:r>
        <w:t xml:space="preserve">Over the past four years our business grew from roughly $1.16M to $1.72M in annual sales, and our forecasting models now let us predict monthly demand with a typical error of about $19,000 on a base of $40,000–$90,000 per month. We found one region (East) with unusually stable, repeatable growth worth studying and replicating elsewhere; a strong and predictable holiday-season sales spike from September through December followed by a sharp, expected slowdown in January–February; several one-off sales spikes tied to likely promotional or bulk-order events; and one product line (Machines) in genuine decline that is tying up capital. The recommendations below turn these findings into concrete stocking and investment actions.</w:t>
      </w:r>
    </w:p>
    <w:p>
      <w:pPr>
        <w:pStyle w:val="Heading1"/>
        <w:spacing w:after="120" w:before="240"/>
      </w:pPr>
      <w:r>
        <w:t xml:space="preserve">Key Findings</w:t>
      </w:r>
    </w:p>
    <w:p>
      <w:pPr>
        <w:pStyle w:val="ListParagraph"/>
        <w:numPr>
          <w:ilvl w:val="0"/>
          <w:numId w:val="1"/>
        </w:numPr>
        <w:spacing w:after="80"/>
      </w:pPr>
      <w:r>
        <w:t xml:space="preserve">Technology is our top-revenue category ($827K of $2.26M total), narrowly ahead of Furniture ($729K) and Office Supplies ($705K) — no single category dominates the portfolio.</w:t>
      </w:r>
    </w:p>
    <w:p>
      <w:pPr>
        <w:pStyle w:val="ListParagraph"/>
        <w:numPr>
          <w:ilvl w:val="0"/>
          <w:numId w:val="1"/>
        </w:numPr>
        <w:spacing w:after="80"/>
      </w:pPr>
      <w:r>
        <w:t xml:space="preserve">The East region has by far the most consistent year-over-year growth of any region — it grew every single year with much less volatility than Central, South, or West, making it a strong template for expansion strategy.</w:t>
      </w:r>
    </w:p>
    <w:p>
      <w:pPr>
        <w:pStyle w:val="ListParagraph"/>
        <w:numPr>
          <w:ilvl w:val="0"/>
          <w:numId w:val="1"/>
        </w:numPr>
        <w:spacing w:after="80"/>
      </w:pPr>
      <w:r>
        <w:t xml:space="preserve">Sales are strongly seasonal: September through December consistently generate the highest monthly sales (November averages ~$87.5K/month), while January–February are consistently the weakest (February averages ~$14.8K/month).</w:t>
      </w:r>
    </w:p>
    <w:p>
      <w:pPr>
        <w:pStyle w:val="ListParagraph"/>
        <w:numPr>
          <w:ilvl w:val="0"/>
          <w:numId w:val="1"/>
        </w:numPr>
        <w:spacing w:after="80"/>
      </w:pPr>
      <w:r>
        <w:t xml:space="preserve">Average order-to-ship time is about 4 days company-wide and barely varies by region, suggesting a centralized fulfillment process rather than regional logistics differences.</w:t>
      </w:r>
    </w:p>
    <w:p>
      <w:pPr>
        <w:pStyle w:val="ListParagraph"/>
        <w:numPr>
          <w:ilvl w:val="0"/>
          <w:numId w:val="1"/>
        </w:numPr>
        <w:spacing w:after="80"/>
      </w:pPr>
      <w:r>
        <w:t xml:space="preserve">We compared three forecasting approaches (SARIMA, Prophet, and a machine-learning model called XGBoost) on 3 held-out months of real data. XGBoost was the most accurate on every metric tested and is recommended for ongoing production forecasting.</w:t>
      </w:r>
    </w:p>
    <w:p>
      <w:pPr>
        <w:pStyle w:val="Heading1"/>
        <w:spacing w:after="120" w:before="240"/>
      </w:pPr>
      <w:r>
        <w:t xml:space="preserve">3-Month Sales Forecast (Jan–Mar 2019)</w:t>
      </w:r>
    </w:p>
    <w:p>
      <w:pPr>
        <w:spacing w:after="160"/>
      </w:pPr>
      <w:r>
        <w:t xml:space="preserve">In plain terms: we expect a seasonally normal dip after the holiday peak, then a rebound in March. January is projected at approximately $46,000 (reasonably likely to fall between $19,000 and $73,000), February at approximately $37,000 (likely between $10,000 and $64,000), and March at approximately $69,000 (likely between $42,000 and $96,000). The wide ranges reflect genuine month-to-month unpredictability in this business and should be treated as planning bands, not guarantees — they are not a sign of a struggling model.</w:t>
      </w:r>
    </w:p>
    <w:p>
      <w:pPr>
        <w:pStyle w:val="Heading1"/>
        <w:spacing w:after="120" w:before="240"/>
      </w:pPr>
      <w:r>
        <w:t xml:space="preserve">Top Anomalies Detected &amp; Likely Causes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c>
          <w:tcPr>
            <w:tcW w:type="dxa" w:w="5800"/>
            <w:shd w:fill="1F2937" w:color="auto" w:val="clear"/>
          </w:tcPr>
          <w:p>
            <w:r>
              <w:rPr>
                <w:b/>
                <w:bCs/>
                <w:color w:val="FFFFFF"/>
                <w:sz w:val="18"/>
                <w:szCs w:val="18"/>
              </w:rPr>
              <w:t xml:space="preserve">Anomaly</w:t>
            </w:r>
          </w:p>
        </w:tc>
        <w:tc>
          <w:tcPr>
            <w:tcW w:type="dxa" w:w="3800"/>
            <w:shd w:fill="1F2937" w:color="auto" w:val="clear"/>
          </w:tcPr>
          <w:p>
            <w:r>
              <w:rPr>
                <w:b/>
                <w:bCs/>
                <w:color w:val="FFFFFF"/>
                <w:sz w:val="18"/>
                <w:szCs w:val="18"/>
              </w:rPr>
              <w:t xml:space="preserve">Likely Real-World Cause</w:t>
            </w:r>
          </w:p>
        </w:tc>
      </w:tr>
      <w:tr>
        <w:tc>
          <w:tcPr>
            <w:tcW w:type="dxa" w:w="5800"/>
          </w:tcPr>
          <w:p>
            <w:r>
              <w:rPr>
                <w:sz w:val="18"/>
                <w:szCs w:val="18"/>
              </w:rPr>
              <w:t xml:space="preserve">Late-November / early-December sales spikes (recurring across years)</w:t>
            </w:r>
          </w:p>
        </w:tc>
        <w:tc>
          <w:tcPr>
            <w:tcW w:type="dxa" w:w="3800"/>
          </w:tcPr>
          <w:p>
            <w:r>
              <w:rPr>
                <w:sz w:val="18"/>
                <w:szCs w:val="18"/>
              </w:rPr>
              <w:t xml:space="preserve">Black Friday, Cyber Monday, and year-end holiday shopping promotions</w:t>
            </w:r>
          </w:p>
        </w:tc>
      </w:tr>
      <w:tr>
        <w:tc>
          <w:tcPr>
            <w:tcW w:type="dxa" w:w="5800"/>
          </w:tcPr>
          <w:p>
            <w:r>
              <w:rPr>
                <w:sz w:val="18"/>
                <w:szCs w:val="18"/>
              </w:rPr>
              <w:t xml:space="preserve">Sharp single-week spike in March 2015</w:t>
            </w:r>
          </w:p>
        </w:tc>
        <w:tc>
          <w:tcPr>
            <w:tcW w:type="dxa" w:w="3800"/>
          </w:tcPr>
          <w:p>
            <w:r>
              <w:rPr>
                <w:sz w:val="18"/>
                <w:szCs w:val="18"/>
              </w:rPr>
              <w:t xml:space="preserve">Likely a large enterprise/bulk B2B order closing out a fiscal quarter</w:t>
            </w:r>
          </w:p>
        </w:tc>
      </w:tr>
      <w:tr>
        <w:tc>
          <w:tcPr>
            <w:tcW w:type="dxa" w:w="5800"/>
          </w:tcPr>
          <w:p>
            <w:r>
              <w:rPr>
                <w:sz w:val="18"/>
                <w:szCs w:val="18"/>
              </w:rPr>
              <w:t xml:space="preserve">September sales spikes (2016, 2018)</w:t>
            </w:r>
          </w:p>
        </w:tc>
        <w:tc>
          <w:tcPr>
            <w:tcW w:type="dxa" w:w="3800"/>
          </w:tcPr>
          <w:p>
            <w:r>
              <w:rPr>
                <w:sz w:val="18"/>
                <w:szCs w:val="18"/>
              </w:rPr>
              <w:t xml:space="preserve">Back-to-school / back-to-office restocking, concentrated in Office Supplies</w:t>
            </w:r>
          </w:p>
        </w:tc>
      </w:tr>
    </w:tbl>
    <w:p>
      <w:pPr>
        <w:spacing w:after="160"/>
      </w:pPr>
    </w:p>
    <w:p>
      <w:pPr>
        <w:spacing w:after="160"/>
      </w:pPr>
      <w:r>
        <w:t xml:space="preserve">Two independent detection methods (Isolation Forest and a rolling Z-score) were used and largely disagreed on which specific weeks were anomalous — this is expected, since one method flags unusual weeks against the whole dataset while the other flags sudden shifts from very recent activity. Using both together gives more complete anomaly coverage than relying on just one.</w:t>
      </w:r>
    </w:p>
    <w:p>
      <w:pPr>
        <w:pStyle w:val="Heading1"/>
        <w:spacing w:after="120" w:before="240"/>
      </w:pPr>
      <w:r>
        <w:t xml:space="preserve">Product Demand Segmentation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c>
          <w:tcPr>
            <w:tcW w:type="dxa" w:w="2600"/>
            <w:shd w:fill="1F2937" w:color="auto" w:val="clear"/>
          </w:tcPr>
          <w:p>
            <w:r>
              <w:rPr>
                <w:b/>
                <w:bCs/>
                <w:color w:val="FFFFFF"/>
                <w:sz w:val="18"/>
                <w:szCs w:val="18"/>
              </w:rPr>
              <w:t xml:space="preserve">Segment</w:t>
            </w:r>
          </w:p>
        </w:tc>
        <w:tc>
          <w:tcPr>
            <w:tcW w:type="dxa" w:w="3800"/>
            <w:shd w:fill="1F2937" w:color="auto" w:val="clear"/>
          </w:tcPr>
          <w:p>
            <w:r>
              <w:rPr>
                <w:b/>
                <w:bCs/>
                <w:color w:val="FFFFFF"/>
                <w:sz w:val="18"/>
                <w:szCs w:val="18"/>
              </w:rPr>
              <w:t xml:space="preserve">Products</w:t>
            </w:r>
          </w:p>
        </w:tc>
        <w:tc>
          <w:tcPr>
            <w:tcW w:type="dxa" w:w="3200"/>
            <w:shd w:fill="1F2937" w:color="auto" w:val="clear"/>
          </w:tcPr>
          <w:p>
            <w:r>
              <w:rPr>
                <w:b/>
                <w:bCs/>
                <w:color w:val="FFFFFF"/>
                <w:sz w:val="18"/>
                <w:szCs w:val="18"/>
              </w:rPr>
              <w:t xml:space="preserve">Recommended Stocking Strategy</w:t>
            </w:r>
          </w:p>
        </w:tc>
      </w:tr>
      <w:tr>
        <w:tc>
          <w:tcPr>
            <w:tcW w:type="dxa" w:w="2600"/>
          </w:tcPr>
          <w:p>
            <w:r>
              <w:rPr>
                <w:sz w:val="18"/>
                <w:szCs w:val="18"/>
              </w:rPr>
              <w:t xml:space="preserve">High Volume, Stable Demand</w:t>
            </w:r>
          </w:p>
        </w:tc>
        <w:tc>
          <w:tcPr>
            <w:tcW w:type="dxa" w:w="3800"/>
          </w:tcPr>
          <w:p>
            <w:r>
              <w:rPr>
                <w:sz w:val="18"/>
                <w:szCs w:val="18"/>
              </w:rPr>
              <w:t xml:space="preserve">Accessories, Binders, Chairs, Phones, Storage, Tables</w:t>
            </w:r>
          </w:p>
        </w:tc>
        <w:tc>
          <w:tcPr>
            <w:tcW w:type="dxa" w:w="3200"/>
          </w:tcPr>
          <w:p>
            <w:r>
              <w:rPr>
                <w:sz w:val="18"/>
                <w:szCs w:val="18"/>
              </w:rPr>
              <w:t xml:space="preserve">Standard reorder-point inventory with moderate safety stock — demand is predictable</w:t>
            </w:r>
          </w:p>
        </w:tc>
      </w:tr>
      <w:tr>
        <w:tc>
          <w:tcPr>
            <w:tcW w:type="dxa" w:w="2600"/>
          </w:tcPr>
          <w:p>
            <w:r>
              <w:rPr>
                <w:sz w:val="18"/>
                <w:szCs w:val="18"/>
              </w:rPr>
              <w:t xml:space="preserve">Growing, High Value</w:t>
            </w:r>
          </w:p>
        </w:tc>
        <w:tc>
          <w:tcPr>
            <w:tcW w:type="dxa" w:w="3800"/>
          </w:tcPr>
          <w:p>
            <w:r>
              <w:rPr>
                <w:sz w:val="18"/>
                <w:szCs w:val="18"/>
              </w:rPr>
              <w:t xml:space="preserve">Copiers</w:t>
            </w:r>
          </w:p>
        </w:tc>
        <w:tc>
          <w:tcPr>
            <w:tcW w:type="dxa" w:w="3200"/>
          </w:tcPr>
          <w:p>
            <w:r>
              <w:rPr>
                <w:sz w:val="18"/>
                <w:szCs w:val="18"/>
              </w:rPr>
              <w:t xml:space="preserve">Keep unit counts lean but secure supplier lead-time buffers — a stockout on this fast-growing, big-ticket item is costly</w:t>
            </w:r>
          </w:p>
        </w:tc>
      </w:tr>
      <w:tr>
        <w:tc>
          <w:tcPr>
            <w:tcW w:type="dxa" w:w="2600"/>
          </w:tcPr>
          <w:p>
            <w:r>
              <w:rPr>
                <w:sz w:val="18"/>
                <w:szCs w:val="18"/>
              </w:rPr>
              <w:t xml:space="preserve">Low Volume, Steady/Niche</w:t>
            </w:r>
          </w:p>
        </w:tc>
        <w:tc>
          <w:tcPr>
            <w:tcW w:type="dxa" w:w="3800"/>
          </w:tcPr>
          <w:p>
            <w:r>
              <w:rPr>
                <w:sz w:val="18"/>
                <w:szCs w:val="18"/>
              </w:rPr>
              <w:t xml:space="preserve">Appliances, Art, Bookcases, Envelopes, Fasteners, Furnishings, Labels, Paper, Supplies</w:t>
            </w:r>
          </w:p>
        </w:tc>
        <w:tc>
          <w:tcPr>
            <w:tcW w:type="dxa" w:w="3200"/>
          </w:tcPr>
          <w:p>
            <w:r>
              <w:rPr>
                <w:sz w:val="18"/>
                <w:szCs w:val="18"/>
              </w:rPr>
              <w:t xml:space="preserve">Lean stock; consider just-in-time or drop-shipping for the cheapest items</w:t>
            </w:r>
          </w:p>
        </w:tc>
      </w:tr>
      <w:tr>
        <w:tc>
          <w:tcPr>
            <w:tcW w:type="dxa" w:w="2600"/>
          </w:tcPr>
          <w:p>
            <w:r>
              <w:rPr>
                <w:sz w:val="18"/>
                <w:szCs w:val="18"/>
              </w:rPr>
              <w:t xml:space="preserve">Declining Demand</w:t>
            </w:r>
          </w:p>
        </w:tc>
        <w:tc>
          <w:tcPr>
            <w:tcW w:type="dxa" w:w="3800"/>
          </w:tcPr>
          <w:p>
            <w:r>
              <w:rPr>
                <w:sz w:val="18"/>
                <w:szCs w:val="18"/>
              </w:rPr>
              <w:t xml:space="preserve">Machines</w:t>
            </w:r>
          </w:p>
        </w:tc>
        <w:tc>
          <w:tcPr>
            <w:tcW w:type="dxa" w:w="3200"/>
          </w:tcPr>
          <w:p>
            <w:r>
              <w:rPr>
                <w:sz w:val="18"/>
                <w:szCs w:val="18"/>
              </w:rPr>
              <w:t xml:space="preserve">Reduce future purchase orders; consider a markdown/clearance strategy to free up capital</w:t>
            </w:r>
          </w:p>
        </w:tc>
      </w:tr>
    </w:tbl>
    <w:p>
      <w:pPr>
        <w:pStyle w:val="Heading1"/>
        <w:spacing w:after="120" w:before="240"/>
      </w:pPr>
      <w:r>
        <w:t xml:space="preserve">Business Recommendations</w:t>
      </w:r>
    </w:p>
    <w:p>
      <w:pPr>
        <w:pStyle w:val="ListParagraph"/>
        <w:numPr>
          <w:ilvl w:val="0"/>
          <w:numId w:val="1"/>
        </w:numPr>
        <w:spacing w:after="80"/>
      </w:pPr>
      <w:r>
        <w:t xml:space="preserve">1. Study and replicate the East region's growth playbook. It is the only region with consistent, low-volatility growth every year — understanding what's different there (sales approach, product mix, customer base) could de-risk expansion investment elsewhere.</w:t>
      </w:r>
    </w:p>
    <w:p>
      <w:pPr>
        <w:pStyle w:val="ListParagraph"/>
        <w:numPr>
          <w:ilvl w:val="0"/>
          <w:numId w:val="1"/>
        </w:numPr>
        <w:spacing w:after="80"/>
      </w:pPr>
      <w:r>
        <w:t xml:space="preserve">2. Build inventory and staffing plans around the confirmed Sep–Dec surge and the Jan–Feb trough, rather than smoothing purchasing evenly across the year. This directly matches the seasonality confirmed independently by two different models.</w:t>
      </w:r>
    </w:p>
    <w:p>
      <w:pPr>
        <w:pStyle w:val="ListParagraph"/>
        <w:numPr>
          <w:ilvl w:val="0"/>
          <w:numId w:val="1"/>
        </w:numPr>
        <w:spacing w:after="80"/>
      </w:pPr>
      <w:r>
        <w:t xml:space="preserve">3. Begin winding down the Machines product line and reallocate that working capital toward Copiers, which is both fast-growing and high-value per order — the data shows these two segments moving in opposite directions.</w:t>
      </w:r>
    </w:p>
    <w:p>
      <w:pPr>
        <w:pStyle w:val="Heading1"/>
        <w:spacing w:after="120" w:before="240"/>
      </w:pPr>
      <w:r>
        <w:t xml:space="preserve">Risk &amp; Limitation</w:t>
      </w:r>
    </w:p>
    <w:p>
      <w:pPr>
        <w:spacing w:after="160"/>
      </w:pPr>
      <w:r>
        <w:t xml:space="preserve">This system's model comparison and "best model" recommendation are based on only 3 held-out months of real data — a genuinely small sample. A single unusual month could change which model looks best, and the forecast confidence ranges shown above are correspondingly wide. Before fully automating stocking decisions on these forecasts, we recommend at least 12 months of rolling backtests (continuously retraining and re-validating as new months arrive) to confirm the model choice holds up over more of the business cycle.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2026-07-04T09:08:37.844Z</dcterms:created>
  <dcterms:modified xsi:type="dcterms:W3CDTF">2026-07-04T09:08:37.845Z</dcterms:modified>
</cp:coreProperties>
</file>

<file path=docProps/custom.xml><?xml version="1.0" encoding="utf-8"?>
<Properties xmlns="http://schemas.openxmlformats.org/officeDocument/2006/custom-properties" xmlns:vt="http://schemas.openxmlformats.org/officeDocument/2006/docPropsVTypes"/>
</file>