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sports equipment market is expanding due to increased health awareness and fitness trends. Key trends include athleisure, smart equipment, and eco-friendly products. Regulations focus on safety, imports/exports, and environmental standards.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kw9fhhtgo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Development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Continuous innovation in materials, technology, and design is crucial. Rigorous quality control ensures safety and performance. Sustainability is increasingly important, with a focus on recycled materials and ethical practices.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mhu09jd2b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Supply Chain Management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Efficient sourcing and manufacturing processes balance cost, quality, and speed. Logistics and inventory management ensure timely delivery and cost minimization. Outsourcing to specialized factories is common.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scm2rl2g2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Marketing and Sales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Clear brand positioning helps define market identity. Digital marketing includes social media, SEO, and influencer partnerships. A robust online store complements a physical retail presence.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qxcjq9wi1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Insights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consumer behavior through market research is essential. Personalization of products and experiences enhances customer satisfaction. Incorporating feedback drives continuous improvement.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wu9dwd3dw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Management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Cost management across the supply chain maintains quality while controlling expenses. Diversifying revenue streams through sales, partnerships, and sponsorships is key. Prudent budgeting and financial planning ensure stability.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vxjnsrojc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Integration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Advanced e-commerce platforms offer seamless online shopping experiences. Data analytics inform business decisions, from trends to inventory. Smart technology in equipment enhances performance tracking.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a87omtw13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and Ethical Considerations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Protecting innovations through intellectual property rights is crucial. Compliance with industry standards and regulations ensures safety and fairness. Upholding ethical practices in sourcing and marketing is essential.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Domain Knowledge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