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C3E"/>
          <w:sz w:val="44"/>
          <w:szCs w:val="44"/>
        </w:rPr>
        <w:t xml:space="preserve">AI ADOPTION ROI ANALYSIS</w:t>
      </w:r>
    </w:p>
    <w:p>
      <w:pPr>
        <w:spacing w:after="200"/>
      </w:pPr>
      <w:r>
        <w:rPr>
          <w:color w:val="595959"/>
          <w:sz w:val="26"/>
          <w:szCs w:val="26"/>
        </w:rPr>
        <w:t xml:space="preserve">Presentation &amp; Pitch Deck Creation Workflow</w:t>
      </w:r>
    </w:p>
    <w:p>
      <w:pPr>
        <w:spacing w:after="40"/>
      </w:pPr>
      <w:r>
        <w:rPr>
          <w:i/>
          <w:iCs/>
          <w:color w:val="595959"/>
          <w:sz w:val="20"/>
          <w:szCs w:val="20"/>
        </w:rPr>
        <w:t xml:space="preserve">Prepared using an AI-assisted deep-research and modeling workflow</w:t>
      </w:r>
    </w:p>
    <w:p>
      <w:pPr>
        <w:spacing w:after="300"/>
      </w:pPr>
      <w:r>
        <w:rPr>
          <w:color w:val="595959"/>
          <w:sz w:val="20"/>
          <w:szCs w:val="20"/>
        </w:rPr>
        <w:t xml:space="preserve">Sample analyst work product  |  July 2026</w:t>
      </w:r>
    </w:p>
    <w:p>
      <w:pPr>
        <w:pStyle w:val="Heading1"/>
        <w:pBdr>
          <w:bottom w:val="single" w:color="2E5C3E" w:sz="8" w:space="4"/>
        </w:pBdr>
        <w:spacing w:after="160" w:before="360"/>
      </w:pPr>
      <w:r>
        <w:rPr>
          <w:b/>
          <w:bCs/>
          <w:color w:val="2E5C3E"/>
          <w:sz w:val="30"/>
          <w:szCs w:val="30"/>
        </w:rPr>
        <w:t xml:space="preserve">Executive Summary</w:t>
      </w:r>
    </w:p>
    <w:p>
      <w:pPr>
        <w:spacing w:after="160" w:line="300"/>
      </w:pPr>
      <w:r>
        <w:rPr>
          <w:sz w:val="22"/>
          <w:szCs w:val="22"/>
        </w:rPr>
        <w:t xml:space="preserve">Presentation creation is one of the most time-intensive recurring tasks in knowledge work, yet it is rarely measured as a cost center the way other operational activities are. This analysis builds a quantified ROI model for introducing AI-assisted tools (e.g., Claude, Gamma, or similar drafting assistants) into pitch-deck and presentation creation, using published time-use benchmarks combined with a transparent, editable set of team assumptions, denominated in INR using India-appropriate cost assumptions rather than a direct currency conversion of US figures.</w:t>
      </w:r>
    </w:p>
    <w:p>
      <w:pPr>
        <w:spacing w:after="160" w:line="300"/>
      </w:pPr>
      <w:r>
        <w:rPr>
          <w:sz w:val="22"/>
          <w:szCs w:val="22"/>
        </w:rPr>
        <w:t xml:space="preserve">Using conservative, clearly-labeled assumptions, the model estimates that a 10-person team producing routine project and pitch decks could recover roughly 600 hours per year by shifting first-draft creation to an AI-assisted workflow, worth approximately ₹3.9-4.0 lakh annually net of tool cost, with payback inside the first 3-4 months of adoption. The purpose of this document is not to assert these exact figures apply universally, but to demonstrate the modeling approach an operations analyst would use to make this case internally, with every assumption swappable for a real company's actual numbers.</w:t>
      </w:r>
    </w:p>
    <w:p>
      <w:pPr>
        <w:pStyle w:val="Heading1"/>
        <w:pBdr>
          <w:bottom w:val="single" w:color="2E5C3E" w:sz="8" w:space="4"/>
        </w:pBdr>
        <w:spacing w:after="160" w:before="360"/>
      </w:pPr>
      <w:r>
        <w:rPr>
          <w:b/>
          <w:bCs/>
          <w:color w:val="2E5C3E"/>
          <w:sz w:val="30"/>
          <w:szCs w:val="30"/>
        </w:rPr>
        <w:t xml:space="preserve">Methodology</w:t>
      </w:r>
    </w:p>
    <w:p>
      <w:pPr>
        <w:spacing w:after="160" w:line="300"/>
      </w:pPr>
      <w:r>
        <w:rPr>
          <w:sz w:val="22"/>
          <w:szCs w:val="22"/>
        </w:rPr>
        <w:t xml:space="preserve">This model was built in four steps, deliberately separating verified external data from internal assumptions so the two are never confused:</w:t>
      </w:r>
    </w:p>
    <w:p>
      <w:pPr>
        <w:pStyle w:val="ListParagraph"/>
        <w:numPr>
          <w:ilvl w:val="0"/>
          <w:numId w:val="2"/>
        </w:numPr>
        <w:spacing w:after="90"/>
      </w:pPr>
      <w:r>
        <w:rPr>
          <w:sz w:val="22"/>
          <w:szCs w:val="22"/>
        </w:rPr>
        <w:t xml:space="preserve">Baseline research — searched for independent, third-party time-use studies on presentation creation (not vendor marketing claims) to establish a credible 'before AI' baseline.</w:t>
      </w:r>
    </w:p>
    <w:p>
      <w:pPr>
        <w:pStyle w:val="ListParagraph"/>
        <w:numPr>
          <w:ilvl w:val="0"/>
          <w:numId w:val="2"/>
        </w:numPr>
        <w:spacing w:after="90"/>
      </w:pPr>
      <w:r>
        <w:rPr>
          <w:sz w:val="22"/>
          <w:szCs w:val="22"/>
        </w:rPr>
        <w:t xml:space="preserve">Assumption isolation — every number not drawn directly from a cited source (team size, decks per month, hourly cost, AI time reduction) is explicitly labeled as an illustrative assumption, so the model can be re-run with a real team's actual figures.</w:t>
      </w:r>
    </w:p>
    <w:p>
      <w:pPr>
        <w:pStyle w:val="ListParagraph"/>
        <w:numPr>
          <w:ilvl w:val="0"/>
          <w:numId w:val="2"/>
        </w:numPr>
        <w:spacing w:after="90"/>
      </w:pPr>
      <w:r>
        <w:rPr>
          <w:sz w:val="22"/>
          <w:szCs w:val="22"/>
        </w:rPr>
        <w:t xml:space="preserve">Transparent calculation — the ROI math is shown in full, not just the final number, so the reasoning can be checked and challenged line by line.</w:t>
      </w:r>
    </w:p>
    <w:p>
      <w:pPr>
        <w:pStyle w:val="ListParagraph"/>
        <w:numPr>
          <w:ilvl w:val="0"/>
          <w:numId w:val="2"/>
        </w:numPr>
        <w:spacing w:after="90"/>
      </w:pPr>
      <w:r>
        <w:rPr>
          <w:sz w:val="22"/>
          <w:szCs w:val="22"/>
        </w:rPr>
        <w:t xml:space="preserve">Sensitivity framing — the analysis notes which inputs the result is most sensitive to, since that's what a decision-maker actually needs to know before approving a tool purchase.</w:t>
      </w:r>
    </w:p>
    <w:p>
      <w:pPr>
        <w:pStyle w:val="Heading1"/>
        <w:pBdr>
          <w:bottom w:val="single" w:color="2E5C3E" w:sz="8" w:space="4"/>
        </w:pBdr>
        <w:spacing w:after="160" w:before="360"/>
      </w:pPr>
      <w:r>
        <w:rPr>
          <w:b/>
          <w:bCs/>
          <w:color w:val="2E5C3E"/>
          <w:sz w:val="30"/>
          <w:szCs w:val="30"/>
        </w:rPr>
        <w:t xml:space="preserve">Baseline: Time Currently Spent (Cited Data)</w:t>
      </w:r>
    </w:p>
    <w:p>
      <w:pPr>
        <w:spacing w:after="160" w:line="300"/>
      </w:pPr>
      <w:r>
        <w:rPr>
          <w:sz w:val="22"/>
          <w:szCs w:val="22"/>
        </w:rPr>
        <w:t xml:space="preserve">Multiple independent surveys converge on presentation creation as a significant, underreported time cost:</w:t>
      </w:r>
    </w:p>
    <w:p>
      <w:pPr>
        <w:pStyle w:val="ListParagraph"/>
        <w:numPr>
          <w:ilvl w:val="0"/>
          <w:numId w:val="2"/>
        </w:numPr>
        <w:spacing w:after="90"/>
      </w:pPr>
      <w:r>
        <w:rPr>
          <w:sz w:val="22"/>
          <w:szCs w:val="22"/>
        </w:rPr>
        <w:t xml:space="preserve">A cross-industry INNOFACT study found employees and freelancers spend an average of about 100 hours per year working on presentations.</w:t>
      </w:r>
    </w:p>
    <w:p>
      <w:pPr>
        <w:pStyle w:val="ListParagraph"/>
        <w:numPr>
          <w:ilvl w:val="0"/>
          <w:numId w:val="2"/>
        </w:numPr>
        <w:spacing w:after="90"/>
      </w:pPr>
      <w:r>
        <w:rPr>
          <w:sz w:val="22"/>
          <w:szCs w:val="22"/>
        </w:rPr>
        <w:t xml:space="preserve">A separate GfK survey found employees spend roughly 20 hours per month using PowerPoint, of which about 8 hours involves repetitive formatting work rather than content or messaging.</w:t>
      </w:r>
    </w:p>
    <w:p>
      <w:pPr>
        <w:pStyle w:val="ListParagraph"/>
        <w:numPr>
          <w:ilvl w:val="0"/>
          <w:numId w:val="2"/>
        </w:numPr>
        <w:spacing w:after="90"/>
      </w:pPr>
      <w:r>
        <w:rPr>
          <w:sz w:val="22"/>
          <w:szCs w:val="22"/>
        </w:rPr>
        <w:t xml:space="preserve">Leadership-level staff report the highest burden: in one 8,500-professional survey, 28.7% of leadership teams spend 5+ hours per week on slide creation alone.</w:t>
      </w:r>
    </w:p>
    <w:p>
      <w:pPr>
        <w:pStyle w:val="ListParagraph"/>
        <w:numPr>
          <w:ilvl w:val="0"/>
          <w:numId w:val="2"/>
        </w:numPr>
        <w:spacing w:after="90"/>
      </w:pPr>
      <w:r>
        <w:rPr>
          <w:sz w:val="22"/>
          <w:szCs w:val="22"/>
        </w:rPr>
        <w:t xml:space="preserve">A separate commonly-cited figure puts average prep time for a single presentation at roughly 2 hours for simpler decks, though pitch decks with financials, design, and stakeholder review cycles typically run considerably longer.</w:t>
      </w:r>
    </w:p>
    <w:p>
      <w:pPr>
        <w:spacing w:after="160" w:line="300"/>
      </w:pPr>
      <w:r>
        <w:rPr>
          <w:i/>
          <w:iCs/>
          <w:color w:val="595959"/>
          <w:sz w:val="20"/>
          <w:szCs w:val="20"/>
        </w:rPr>
        <w:t xml:space="preserve">These figures vary by source and methodology, which is itself a useful finding: the 'true' baseline should be measured internally rather than assumed from any single external study. For this model, a mid-range planning assumption of 4 hours of active work per pitch deck is used, reflecting research, drafting, and formatting time but excluding scheduling/coordination overhead.</w:t>
      </w:r>
    </w:p>
    <w:p>
      <w:pPr>
        <w:spacing w:after="160" w:line="300"/>
      </w:pPr>
      <w:r>
        <w:rPr>
          <w:i/>
          <w:iCs/>
          <w:color w:val="595959"/>
          <w:sz w:val="20"/>
          <w:szCs w:val="20"/>
        </w:rPr>
        <w:t xml:space="preserve">A note on currency: the underlying time-use studies are US/global surveys, but cost inputs below use India-appropriate fully-loaded salary figures rather than converting the US dollar figure at the market exchange rate — a straight FX conversion would overstate Indian labor cost by roughly 4-5x and make the model meaningless for local use.</w:t>
      </w:r>
    </w:p>
    <w:p>
      <w:pPr>
        <w:pStyle w:val="Heading1"/>
        <w:pBdr>
          <w:bottom w:val="single" w:color="2E5C3E" w:sz="8" w:space="4"/>
        </w:pBdr>
        <w:spacing w:after="160" w:before="360"/>
      </w:pPr>
      <w:r>
        <w:rPr>
          <w:b/>
          <w:bCs/>
          <w:color w:val="2E5C3E"/>
          <w:sz w:val="30"/>
          <w:szCs w:val="30"/>
        </w:rPr>
        <w:t xml:space="preserve">Modeled Scenario (Illustrative Assumptions)</w:t>
      </w:r>
    </w:p>
    <w:p>
      <w:pPr>
        <w:spacing w:after="160" w:line="300"/>
      </w:pPr>
      <w:r>
        <w:rPr>
          <w:sz w:val="22"/>
          <w:szCs w:val="22"/>
        </w:rPr>
        <w:t xml:space="preserve">The table below separates cited data from assumptions the reader should replace with real figures before using this for an actual budget decision.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800"/>
      </w:tblGrid>
      <w:tr>
        <w:trPr>
          <w:tblHeader/>
        </w:trPr>
        <w:tc>
          <w:tcPr>
            <w:tcW w:type="dxa" w:w="3400"/>
            <w:shd w:fill="2E5C3E" w:val="clear"/>
            <w:tcMar>
              <w:top w:type="dxa" w:w="100"/>
              <w:left w:type="dxa" w:w="120"/>
              <w:bottom w:type="dxa" w:w="100"/>
              <w:right w:type="dxa" w:w="120"/>
            </w:tcMar>
          </w:tcPr>
          <w:p>
            <w:r>
              <w:rPr>
                <w:b/>
                <w:bCs/>
                <w:color w:val="FFFFFF"/>
                <w:sz w:val="20"/>
                <w:szCs w:val="20"/>
              </w:rPr>
              <w:t xml:space="preserve">Input</w:t>
            </w:r>
          </w:p>
        </w:tc>
        <w:tc>
          <w:tcPr>
            <w:tcW w:type="dxa" w:w="2200"/>
            <w:shd w:fill="2E5C3E" w:val="clear"/>
            <w:tcMar>
              <w:top w:type="dxa" w:w="100"/>
              <w:left w:type="dxa" w:w="120"/>
              <w:bottom w:type="dxa" w:w="100"/>
              <w:right w:type="dxa" w:w="120"/>
            </w:tcMar>
          </w:tcPr>
          <w:p>
            <w:r>
              <w:rPr>
                <w:b/>
                <w:bCs/>
                <w:color w:val="FFFFFF"/>
                <w:sz w:val="20"/>
                <w:szCs w:val="20"/>
              </w:rPr>
              <w:t xml:space="preserve">Value used</w:t>
            </w:r>
          </w:p>
        </w:tc>
        <w:tc>
          <w:tcPr>
            <w:tcW w:type="dxa" w:w="2200"/>
            <w:shd w:fill="2E5C3E" w:val="clear"/>
            <w:tcMar>
              <w:top w:type="dxa" w:w="100"/>
              <w:left w:type="dxa" w:w="120"/>
              <w:bottom w:type="dxa" w:w="100"/>
              <w:right w:type="dxa" w:w="120"/>
            </w:tcMar>
          </w:tcPr>
          <w:p>
            <w:r>
              <w:rPr>
                <w:b/>
                <w:bCs/>
                <w:color w:val="FFFFFF"/>
                <w:sz w:val="20"/>
                <w:szCs w:val="20"/>
              </w:rPr>
              <w:t xml:space="preserve">Source</w:t>
            </w:r>
          </w:p>
        </w:tc>
        <w:tc>
          <w:tcPr>
            <w:tcW w:type="dxa" w:w="1800"/>
            <w:shd w:fill="2E5C3E" w:val="clear"/>
            <w:tcMar>
              <w:top w:type="dxa" w:w="100"/>
              <w:left w:type="dxa" w:w="120"/>
              <w:bottom w:type="dxa" w:w="100"/>
              <w:right w:type="dxa" w:w="120"/>
            </w:tcMar>
          </w:tcPr>
          <w:p>
            <w:r>
              <w:rPr>
                <w:b/>
                <w:bCs/>
                <w:color w:val="FFFFFF"/>
                <w:sz w:val="20"/>
                <w:szCs w:val="20"/>
              </w:rPr>
              <w:t xml:space="preserve">Editable?</w:t>
            </w:r>
          </w:p>
        </w:tc>
      </w:tr>
      <w:tr>
        <w:tc>
          <w:tcPr>
            <w:tcW w:type="dxa" w:w="3400"/>
            <w:shd w:fill="EAF2EC" w:val="clear"/>
            <w:tcMar>
              <w:top w:type="dxa" w:w="100"/>
              <w:left w:type="dxa" w:w="120"/>
              <w:bottom w:type="dxa" w:w="100"/>
              <w:right w:type="dxa" w:w="120"/>
            </w:tcMar>
          </w:tcPr>
          <w:p>
            <w:r>
              <w:rPr>
                <w:b w:val="false"/>
                <w:bCs w:val="false"/>
                <w:color w:val="000000"/>
                <w:sz w:val="20"/>
                <w:szCs w:val="20"/>
              </w:rPr>
              <w:t xml:space="preserve">Team size</w:t>
            </w:r>
          </w:p>
        </w:tc>
        <w:tc>
          <w:tcPr>
            <w:tcW w:type="dxa" w:w="2200"/>
            <w:shd w:fill="EAF2EC" w:val="clear"/>
            <w:tcMar>
              <w:top w:type="dxa" w:w="100"/>
              <w:left w:type="dxa" w:w="120"/>
              <w:bottom w:type="dxa" w:w="100"/>
              <w:right w:type="dxa" w:w="120"/>
            </w:tcMar>
          </w:tcPr>
          <w:p>
            <w:r>
              <w:rPr>
                <w:b w:val="false"/>
                <w:bCs w:val="false"/>
                <w:color w:val="000000"/>
                <w:sz w:val="20"/>
                <w:szCs w:val="20"/>
              </w:rPr>
              <w:t xml:space="preserve">10 people</w:t>
            </w:r>
          </w:p>
        </w:tc>
        <w:tc>
          <w:tcPr>
            <w:tcW w:type="dxa" w:w="2200"/>
            <w:shd w:fill="EAF2EC" w:val="clear"/>
            <w:tcMar>
              <w:top w:type="dxa" w:w="100"/>
              <w:left w:type="dxa" w:w="120"/>
              <w:bottom w:type="dxa" w:w="100"/>
              <w:right w:type="dxa" w:w="120"/>
            </w:tcMar>
          </w:tcPr>
          <w:p>
            <w:r>
              <w:rPr>
                <w:b w:val="false"/>
                <w:bCs w:val="false"/>
                <w:color w:val="000000"/>
                <w:sz w:val="20"/>
                <w:szCs w:val="20"/>
              </w:rPr>
              <w:t xml:space="preserve">Assumption</w:t>
            </w:r>
          </w:p>
        </w:tc>
        <w:tc>
          <w:tcPr>
            <w:tcW w:type="dxa" w:w="1800"/>
            <w:shd w:fill="EAF2EC" w:val="clear"/>
            <w:tcMar>
              <w:top w:type="dxa" w:w="100"/>
              <w:left w:type="dxa" w:w="120"/>
              <w:bottom w:type="dxa" w:w="100"/>
              <w:right w:type="dxa" w:w="120"/>
            </w:tcMar>
          </w:tcPr>
          <w:p>
            <w:r>
              <w:rPr>
                <w:b w:val="false"/>
                <w:bCs w:val="false"/>
                <w:color w:val="000000"/>
                <w:sz w:val="20"/>
                <w:szCs w:val="20"/>
              </w:rPr>
              <w:t xml:space="preserve">Yes</w:t>
            </w:r>
          </w:p>
        </w:tc>
      </w:tr>
      <w:tr>
        <w:tc>
          <w:tcPr>
            <w:tcW w:type="dxa" w:w="3400"/>
            <w:tcMar>
              <w:top w:type="dxa" w:w="100"/>
              <w:left w:type="dxa" w:w="120"/>
              <w:bottom w:type="dxa" w:w="100"/>
              <w:right w:type="dxa" w:w="120"/>
            </w:tcMar>
          </w:tcPr>
          <w:p>
            <w:r>
              <w:rPr>
                <w:b w:val="false"/>
                <w:bCs w:val="false"/>
                <w:color w:val="000000"/>
                <w:sz w:val="20"/>
                <w:szCs w:val="20"/>
              </w:rPr>
              <w:t xml:space="preserve">Decks created / person / month</w:t>
            </w:r>
          </w:p>
        </w:tc>
        <w:tc>
          <w:tcPr>
            <w:tcW w:type="dxa" w:w="2200"/>
            <w:tcMar>
              <w:top w:type="dxa" w:w="100"/>
              <w:left w:type="dxa" w:w="120"/>
              <w:bottom w:type="dxa" w:w="100"/>
              <w:right w:type="dxa" w:w="120"/>
            </w:tcMar>
          </w:tcPr>
          <w:p>
            <w:r>
              <w:rPr>
                <w:b w:val="false"/>
                <w:bCs w:val="false"/>
                <w:color w:val="000000"/>
                <w:sz w:val="20"/>
                <w:szCs w:val="20"/>
              </w:rPr>
              <w:t xml:space="preserve">2</w:t>
            </w:r>
          </w:p>
        </w:tc>
        <w:tc>
          <w:tcPr>
            <w:tcW w:type="dxa" w:w="2200"/>
            <w:tcMar>
              <w:top w:type="dxa" w:w="100"/>
              <w:left w:type="dxa" w:w="120"/>
              <w:bottom w:type="dxa" w:w="100"/>
              <w:right w:type="dxa" w:w="120"/>
            </w:tcMar>
          </w:tcPr>
          <w:p>
            <w:r>
              <w:rPr>
                <w:b w:val="false"/>
                <w:bCs w:val="false"/>
                <w:color w:val="000000"/>
                <w:sz w:val="20"/>
                <w:szCs w:val="20"/>
              </w:rPr>
              <w:t xml:space="preserve">Assumption</w:t>
            </w:r>
          </w:p>
        </w:tc>
        <w:tc>
          <w:tcPr>
            <w:tcW w:type="dxa" w:w="1800"/>
            <w:tcMar>
              <w:top w:type="dxa" w:w="100"/>
              <w:left w:type="dxa" w:w="120"/>
              <w:bottom w:type="dxa" w:w="100"/>
              <w:right w:type="dxa" w:w="120"/>
            </w:tcMar>
          </w:tcPr>
          <w:p>
            <w:r>
              <w:rPr>
                <w:b w:val="false"/>
                <w:bCs w:val="false"/>
                <w:color w:val="000000"/>
                <w:sz w:val="20"/>
                <w:szCs w:val="20"/>
              </w:rPr>
              <w:t xml:space="preserve">Yes</w:t>
            </w:r>
          </w:p>
        </w:tc>
      </w:tr>
      <w:tr>
        <w:tc>
          <w:tcPr>
            <w:tcW w:type="dxa" w:w="3400"/>
            <w:shd w:fill="EAF2EC" w:val="clear"/>
            <w:tcMar>
              <w:top w:type="dxa" w:w="100"/>
              <w:left w:type="dxa" w:w="120"/>
              <w:bottom w:type="dxa" w:w="100"/>
              <w:right w:type="dxa" w:w="120"/>
            </w:tcMar>
          </w:tcPr>
          <w:p>
            <w:r>
              <w:rPr>
                <w:b w:val="false"/>
                <w:bCs w:val="false"/>
                <w:color w:val="000000"/>
                <w:sz w:val="20"/>
                <w:szCs w:val="20"/>
              </w:rPr>
              <w:t xml:space="preserve">Baseline time / deck</w:t>
            </w:r>
          </w:p>
        </w:tc>
        <w:tc>
          <w:tcPr>
            <w:tcW w:type="dxa" w:w="2200"/>
            <w:shd w:fill="EAF2EC" w:val="clear"/>
            <w:tcMar>
              <w:top w:type="dxa" w:w="100"/>
              <w:left w:type="dxa" w:w="120"/>
              <w:bottom w:type="dxa" w:w="100"/>
              <w:right w:type="dxa" w:w="120"/>
            </w:tcMar>
          </w:tcPr>
          <w:p>
            <w:r>
              <w:rPr>
                <w:b w:val="false"/>
                <w:bCs w:val="false"/>
                <w:color w:val="000000"/>
                <w:sz w:val="20"/>
                <w:szCs w:val="20"/>
              </w:rPr>
              <w:t xml:space="preserve">4.0 hours</w:t>
            </w:r>
          </w:p>
        </w:tc>
        <w:tc>
          <w:tcPr>
            <w:tcW w:type="dxa" w:w="2200"/>
            <w:shd w:fill="EAF2EC" w:val="clear"/>
            <w:tcMar>
              <w:top w:type="dxa" w:w="100"/>
              <w:left w:type="dxa" w:w="120"/>
              <w:bottom w:type="dxa" w:w="100"/>
              <w:right w:type="dxa" w:w="120"/>
            </w:tcMar>
          </w:tcPr>
          <w:p>
            <w:r>
              <w:rPr>
                <w:b w:val="false"/>
                <w:bCs w:val="false"/>
                <w:color w:val="000000"/>
                <w:sz w:val="20"/>
                <w:szCs w:val="20"/>
              </w:rPr>
              <w:t xml:space="preserve">Cited range, midpoint</w:t>
            </w:r>
          </w:p>
        </w:tc>
        <w:tc>
          <w:tcPr>
            <w:tcW w:type="dxa" w:w="1800"/>
            <w:shd w:fill="EAF2EC" w:val="clear"/>
            <w:tcMar>
              <w:top w:type="dxa" w:w="100"/>
              <w:left w:type="dxa" w:w="120"/>
              <w:bottom w:type="dxa" w:w="100"/>
              <w:right w:type="dxa" w:w="120"/>
            </w:tcMar>
          </w:tcPr>
          <w:p>
            <w:r>
              <w:rPr>
                <w:b w:val="false"/>
                <w:bCs w:val="false"/>
                <w:color w:val="000000"/>
                <w:sz w:val="20"/>
                <w:szCs w:val="20"/>
              </w:rPr>
              <w:t xml:space="preserve">Yes</w:t>
            </w:r>
          </w:p>
        </w:tc>
      </w:tr>
      <w:tr>
        <w:tc>
          <w:tcPr>
            <w:tcW w:type="dxa" w:w="3400"/>
            <w:tcMar>
              <w:top w:type="dxa" w:w="100"/>
              <w:left w:type="dxa" w:w="120"/>
              <w:bottom w:type="dxa" w:w="100"/>
              <w:right w:type="dxa" w:w="120"/>
            </w:tcMar>
          </w:tcPr>
          <w:p>
            <w:r>
              <w:rPr>
                <w:b w:val="false"/>
                <w:bCs w:val="false"/>
                <w:color w:val="000000"/>
                <w:sz w:val="20"/>
                <w:szCs w:val="20"/>
              </w:rPr>
              <w:t xml:space="preserve">AI-assisted time / deck</w:t>
            </w:r>
          </w:p>
        </w:tc>
        <w:tc>
          <w:tcPr>
            <w:tcW w:type="dxa" w:w="2200"/>
            <w:tcMar>
              <w:top w:type="dxa" w:w="100"/>
              <w:left w:type="dxa" w:w="120"/>
              <w:bottom w:type="dxa" w:w="100"/>
              <w:right w:type="dxa" w:w="120"/>
            </w:tcMar>
          </w:tcPr>
          <w:p>
            <w:r>
              <w:rPr>
                <w:b w:val="false"/>
                <w:bCs w:val="false"/>
                <w:color w:val="000000"/>
                <w:sz w:val="20"/>
                <w:szCs w:val="20"/>
              </w:rPr>
              <w:t xml:space="preserve">1.5 hours</w:t>
            </w:r>
          </w:p>
        </w:tc>
        <w:tc>
          <w:tcPr>
            <w:tcW w:type="dxa" w:w="2200"/>
            <w:tcMar>
              <w:top w:type="dxa" w:w="100"/>
              <w:left w:type="dxa" w:w="120"/>
              <w:bottom w:type="dxa" w:w="100"/>
              <w:right w:type="dxa" w:w="120"/>
            </w:tcMar>
          </w:tcPr>
          <w:p>
            <w:r>
              <w:rPr>
                <w:b w:val="false"/>
                <w:bCs w:val="false"/>
                <w:color w:val="000000"/>
                <w:sz w:val="20"/>
                <w:szCs w:val="20"/>
              </w:rPr>
              <w:t xml:space="preserve">Assumption (draft + human review/edit)</w:t>
            </w:r>
          </w:p>
        </w:tc>
        <w:tc>
          <w:tcPr>
            <w:tcW w:type="dxa" w:w="1800"/>
            <w:tcMar>
              <w:top w:type="dxa" w:w="100"/>
              <w:left w:type="dxa" w:w="120"/>
              <w:bottom w:type="dxa" w:w="100"/>
              <w:right w:type="dxa" w:w="120"/>
            </w:tcMar>
          </w:tcPr>
          <w:p>
            <w:r>
              <w:rPr>
                <w:b w:val="false"/>
                <w:bCs w:val="false"/>
                <w:color w:val="000000"/>
                <w:sz w:val="20"/>
                <w:szCs w:val="20"/>
              </w:rPr>
              <w:t xml:space="preserve">Yes</w:t>
            </w:r>
          </w:p>
        </w:tc>
      </w:tr>
      <w:tr>
        <w:tc>
          <w:tcPr>
            <w:tcW w:type="dxa" w:w="3400"/>
            <w:shd w:fill="EAF2EC" w:val="clear"/>
            <w:tcMar>
              <w:top w:type="dxa" w:w="100"/>
              <w:left w:type="dxa" w:w="120"/>
              <w:bottom w:type="dxa" w:w="100"/>
              <w:right w:type="dxa" w:w="120"/>
            </w:tcMar>
          </w:tcPr>
          <w:p>
            <w:r>
              <w:rPr>
                <w:b w:val="false"/>
                <w:bCs w:val="false"/>
                <w:color w:val="000000"/>
                <w:sz w:val="20"/>
                <w:szCs w:val="20"/>
              </w:rPr>
              <w:t xml:space="preserve">Fully-loaded hourly cost</w:t>
            </w:r>
          </w:p>
        </w:tc>
        <w:tc>
          <w:tcPr>
            <w:tcW w:type="dxa" w:w="2200"/>
            <w:shd w:fill="EAF2EC" w:val="clear"/>
            <w:tcMar>
              <w:top w:type="dxa" w:w="100"/>
              <w:left w:type="dxa" w:w="120"/>
              <w:bottom w:type="dxa" w:w="100"/>
              <w:right w:type="dxa" w:w="120"/>
            </w:tcMar>
          </w:tcPr>
          <w:p>
            <w:r>
              <w:rPr>
                <w:b w:val="false"/>
                <w:bCs w:val="false"/>
                <w:color w:val="000000"/>
                <w:sz w:val="20"/>
                <w:szCs w:val="20"/>
              </w:rPr>
              <w:t xml:space="preserve">₹1,000/hour</w:t>
            </w:r>
          </w:p>
        </w:tc>
        <w:tc>
          <w:tcPr>
            <w:tcW w:type="dxa" w:w="2200"/>
            <w:shd w:fill="EAF2EC" w:val="clear"/>
            <w:tcMar>
              <w:top w:type="dxa" w:w="100"/>
              <w:left w:type="dxa" w:w="120"/>
              <w:bottom w:type="dxa" w:w="100"/>
              <w:right w:type="dxa" w:w="120"/>
            </w:tcMar>
          </w:tcPr>
          <w:p>
            <w:r>
              <w:rPr>
                <w:b w:val="false"/>
                <w:bCs w:val="false"/>
                <w:color w:val="000000"/>
                <w:sz w:val="20"/>
                <w:szCs w:val="20"/>
              </w:rPr>
              <w:t xml:space="preserve">Assumption (India-based)</w:t>
            </w:r>
          </w:p>
        </w:tc>
        <w:tc>
          <w:tcPr>
            <w:tcW w:type="dxa" w:w="1800"/>
            <w:shd w:fill="EAF2EC" w:val="clear"/>
            <w:tcMar>
              <w:top w:type="dxa" w:w="100"/>
              <w:left w:type="dxa" w:w="120"/>
              <w:bottom w:type="dxa" w:w="100"/>
              <w:right w:type="dxa" w:w="120"/>
            </w:tcMar>
          </w:tcPr>
          <w:p>
            <w:r>
              <w:rPr>
                <w:b w:val="false"/>
                <w:bCs w:val="false"/>
                <w:color w:val="000000"/>
                <w:sz w:val="20"/>
                <w:szCs w:val="20"/>
              </w:rPr>
              <w:t xml:space="preserve">Yes</w:t>
            </w:r>
          </w:p>
        </w:tc>
      </w:tr>
      <w:tr>
        <w:tc>
          <w:tcPr>
            <w:tcW w:type="dxa" w:w="3400"/>
            <w:tcMar>
              <w:top w:type="dxa" w:w="100"/>
              <w:left w:type="dxa" w:w="120"/>
              <w:bottom w:type="dxa" w:w="100"/>
              <w:right w:type="dxa" w:w="120"/>
            </w:tcMar>
          </w:tcPr>
          <w:p>
            <w:r>
              <w:rPr>
                <w:b w:val="false"/>
                <w:bCs w:val="false"/>
                <w:color w:val="000000"/>
                <w:sz w:val="20"/>
                <w:szCs w:val="20"/>
              </w:rPr>
              <w:t xml:space="preserve">AI tool cost</w:t>
            </w:r>
          </w:p>
        </w:tc>
        <w:tc>
          <w:tcPr>
            <w:tcW w:type="dxa" w:w="2200"/>
            <w:tcMar>
              <w:top w:type="dxa" w:w="100"/>
              <w:left w:type="dxa" w:w="120"/>
              <w:bottom w:type="dxa" w:w="100"/>
              <w:right w:type="dxa" w:w="120"/>
            </w:tcMar>
          </w:tcPr>
          <w:p>
            <w:r>
              <w:rPr>
                <w:b w:val="false"/>
                <w:bCs w:val="false"/>
                <w:color w:val="000000"/>
                <w:sz w:val="20"/>
                <w:szCs w:val="20"/>
              </w:rPr>
              <w:t xml:space="preserve">₹1,700/user/month</w:t>
            </w:r>
          </w:p>
        </w:tc>
        <w:tc>
          <w:tcPr>
            <w:tcW w:type="dxa" w:w="2200"/>
            <w:tcMar>
              <w:top w:type="dxa" w:w="100"/>
              <w:left w:type="dxa" w:w="120"/>
              <w:bottom w:type="dxa" w:w="100"/>
              <w:right w:type="dxa" w:w="120"/>
            </w:tcMar>
          </w:tcPr>
          <w:p>
            <w:r>
              <w:rPr>
                <w:b w:val="false"/>
                <w:bCs w:val="false"/>
                <w:color w:val="000000"/>
                <w:sz w:val="20"/>
                <w:szCs w:val="20"/>
              </w:rPr>
              <w:t xml:space="preserve">Assumption</w:t>
            </w:r>
          </w:p>
        </w:tc>
        <w:tc>
          <w:tcPr>
            <w:tcW w:type="dxa" w:w="1800"/>
            <w:tcMar>
              <w:top w:type="dxa" w:w="100"/>
              <w:left w:type="dxa" w:w="120"/>
              <w:bottom w:type="dxa" w:w="100"/>
              <w:right w:type="dxa" w:w="120"/>
            </w:tcMar>
          </w:tcPr>
          <w:p>
            <w:r>
              <w:rPr>
                <w:b w:val="false"/>
                <w:bCs w:val="false"/>
                <w:color w:val="000000"/>
                <w:sz w:val="20"/>
                <w:szCs w:val="20"/>
              </w:rPr>
              <w:t xml:space="preserve">Yes</w:t>
            </w:r>
          </w:p>
        </w:tc>
      </w:tr>
    </w:tbl>
    <w:p>
      <w:pPr>
        <w:spacing w:before="200"/>
      </w:pPr>
    </w:p>
    <w:p>
      <w:pPr>
        <w:pStyle w:val="Heading1"/>
        <w:pBdr>
          <w:bottom w:val="single" w:color="2E5C3E" w:sz="8" w:space="4"/>
        </w:pBdr>
        <w:spacing w:after="160" w:before="360"/>
      </w:pPr>
      <w:r>
        <w:rPr>
          <w:b/>
          <w:bCs/>
          <w:color w:val="2E5C3E"/>
          <w:sz w:val="30"/>
          <w:szCs w:val="30"/>
        </w:rPr>
        <w:t xml:space="preserve">ROI Calculation</w:t>
      </w:r>
    </w:p>
    <w:p>
      <w:pPr>
        <w:spacing w:after="160" w:line="300"/>
      </w:pPr>
      <w:r>
        <w:rPr>
          <w:sz w:val="22"/>
          <w:szCs w:val="22"/>
        </w:rPr>
        <w:t xml:space="preserve">Working through the model with the inputs above:</w:t>
      </w:r>
    </w:p>
    <w:p>
      <w:pPr>
        <w:pStyle w:val="ListParagraph"/>
        <w:numPr>
          <w:ilvl w:val="0"/>
          <w:numId w:val="2"/>
        </w:numPr>
        <w:spacing w:after="90"/>
      </w:pPr>
      <w:r>
        <w:rPr>
          <w:sz w:val="22"/>
          <w:szCs w:val="22"/>
        </w:rPr>
        <w:t xml:space="preserve">Decks per year: 10 people x 2 decks/month x 12 months = 240 decks/year</w:t>
      </w:r>
    </w:p>
    <w:p>
      <w:pPr>
        <w:pStyle w:val="ListParagraph"/>
        <w:numPr>
          <w:ilvl w:val="0"/>
          <w:numId w:val="2"/>
        </w:numPr>
        <w:spacing w:after="90"/>
      </w:pPr>
      <w:r>
        <w:rPr>
          <w:sz w:val="22"/>
          <w:szCs w:val="22"/>
        </w:rPr>
        <w:t xml:space="preserve">Time saved per deck: 4.0 hours − 1.5 hours = 2.5 hours</w:t>
      </w:r>
    </w:p>
    <w:p>
      <w:pPr>
        <w:pStyle w:val="ListParagraph"/>
        <w:numPr>
          <w:ilvl w:val="0"/>
          <w:numId w:val="2"/>
        </w:numPr>
        <w:spacing w:after="90"/>
      </w:pPr>
      <w:r>
        <w:rPr>
          <w:sz w:val="22"/>
          <w:szCs w:val="22"/>
        </w:rPr>
        <w:t xml:space="preserve">Total hours saved per year: 240 decks x 2.5 hours = 600 hours/year</w:t>
      </w:r>
    </w:p>
    <w:p>
      <w:pPr>
        <w:pStyle w:val="ListParagraph"/>
        <w:numPr>
          <w:ilvl w:val="0"/>
          <w:numId w:val="2"/>
        </w:numPr>
        <w:spacing w:after="90"/>
      </w:pPr>
      <w:r>
        <w:rPr>
          <w:sz w:val="22"/>
          <w:szCs w:val="22"/>
        </w:rPr>
        <w:t xml:space="preserve">Gross value of time saved: 600 hours x ₹1,000/hour = ₹6,00,000/year</w:t>
      </w:r>
    </w:p>
    <w:p>
      <w:pPr>
        <w:pStyle w:val="ListParagraph"/>
        <w:numPr>
          <w:ilvl w:val="0"/>
          <w:numId w:val="2"/>
        </w:numPr>
        <w:spacing w:after="90"/>
      </w:pPr>
      <w:r>
        <w:rPr>
          <w:sz w:val="22"/>
          <w:szCs w:val="22"/>
        </w:rPr>
        <w:t xml:space="preserve">Annual tool cost: 10 users x ₹1,700/month x 12 months = ₹2,04,000/year</w:t>
      </w:r>
    </w:p>
    <w:p>
      <w:pPr>
        <w:pStyle w:val="ListParagraph"/>
        <w:numPr>
          <w:ilvl w:val="0"/>
          <w:numId w:val="2"/>
        </w:numPr>
        <w:spacing w:after="90"/>
      </w:pPr>
      <w:r>
        <w:rPr>
          <w:sz w:val="22"/>
          <w:szCs w:val="22"/>
        </w:rPr>
        <w:t xml:space="preserve">Net annual value: ₹6,00,000 − ₹2,04,000 = ₹3,96,000/year (~₹3.96 lakh)</w:t>
      </w:r>
    </w:p>
    <w:p>
      <w:pPr>
        <w:pStyle w:val="ListParagraph"/>
        <w:numPr>
          <w:ilvl w:val="0"/>
          <w:numId w:val="2"/>
        </w:numPr>
        <w:spacing w:after="90"/>
      </w:pPr>
      <w:r>
        <w:rPr>
          <w:sz w:val="22"/>
          <w:szCs w:val="22"/>
        </w:rPr>
        <w:t xml:space="preserve">Payback period: each deck saves ₹2,500 in labor value (2.5 hrs x ₹1,000); at 240 decks/year (~20/month), the ₹2,04,000 annual tool cost is recovered after roughly 82 decks — typically within the first 3-4 months of team-wide adoption.</w:t>
      </w:r>
    </w:p>
    <w:p>
      <w:pPr>
        <w:spacing w:after="160" w:line="300"/>
      </w:pPr>
      <w:r>
        <w:rPr>
          <w:i/>
          <w:iCs/>
          <w:color w:val="595959"/>
          <w:sz w:val="20"/>
          <w:szCs w:val="20"/>
        </w:rPr>
        <w:t xml:space="preserve">This is presented as a directional model, not a guarantee: real results depend heavily on how disciplined the team is about using the AI-assisted workflow rather than reverting to old habits, and on how much manual rework AI-generated drafts actually require in practice.</w:t>
      </w:r>
    </w:p>
    <w:p>
      <w:pPr>
        <w:pStyle w:val="Heading1"/>
        <w:pBdr>
          <w:bottom w:val="single" w:color="2E5C3E" w:sz="8" w:space="4"/>
        </w:pBdr>
        <w:spacing w:after="160" w:before="360"/>
      </w:pPr>
      <w:r>
        <w:rPr>
          <w:b/>
          <w:bCs/>
          <w:color w:val="2E5C3E"/>
          <w:sz w:val="30"/>
          <w:szCs w:val="30"/>
        </w:rPr>
        <w:t xml:space="preserve">What This Model Does Not Capture</w:t>
      </w:r>
    </w:p>
    <w:p>
      <w:pPr>
        <w:pStyle w:val="ListParagraph"/>
        <w:numPr>
          <w:ilvl w:val="0"/>
          <w:numId w:val="2"/>
        </w:numPr>
        <w:spacing w:after="90"/>
      </w:pPr>
      <w:r>
        <w:rPr>
          <w:sz w:val="22"/>
          <w:szCs w:val="22"/>
        </w:rPr>
        <w:t xml:space="preserve">Quality and judgment trade-offs: AI tools are strong at structure, first-draft narrative flow, and formatting consistency, but storytelling nuance, stakeholder-specific framing, and executive judgment on what to cut still require human review — time saved on drafting is partially offset by review time, which is already reflected in the 1.5-hour AI-assisted estimate but may be understated for high-stakes external decks.</w:t>
      </w:r>
    </w:p>
    <w:p>
      <w:pPr>
        <w:pStyle w:val="ListParagraph"/>
        <w:numPr>
          <w:ilvl w:val="0"/>
          <w:numId w:val="2"/>
        </w:numPr>
        <w:spacing w:after="90"/>
      </w:pPr>
      <w:r>
        <w:rPr>
          <w:sz w:val="22"/>
          <w:szCs w:val="22"/>
        </w:rPr>
        <w:t xml:space="preserve">Adoption curve: the model assumes full, immediate adoption. In practice, teams take weeks to months to trust and properly prompt a new tool, so real Year-1 savings are typically lower than the steady-state figure above.</w:t>
      </w:r>
    </w:p>
    <w:p>
      <w:pPr>
        <w:pStyle w:val="ListParagraph"/>
        <w:numPr>
          <w:ilvl w:val="0"/>
          <w:numId w:val="2"/>
        </w:numPr>
        <w:spacing w:after="90"/>
      </w:pPr>
      <w:r>
        <w:rPr>
          <w:sz w:val="22"/>
          <w:szCs w:val="22"/>
        </w:rPr>
        <w:t xml:space="preserve">Brand and compliance risk: AI-generated slides need a review step for design-guideline compliance and data accuracy before external use — unreviewed AI output should not be treated as launch-ready.</w:t>
      </w:r>
    </w:p>
    <w:p>
      <w:pPr>
        <w:pStyle w:val="ListParagraph"/>
        <w:numPr>
          <w:ilvl w:val="0"/>
          <w:numId w:val="2"/>
        </w:numPr>
        <w:spacing w:after="90"/>
      </w:pPr>
      <w:r>
        <w:rPr>
          <w:sz w:val="22"/>
          <w:szCs w:val="22"/>
        </w:rPr>
        <w:t xml:space="preserve">Variance by deck type: routine internal status decks likely see savings at or above this model; high-stakes investor or client pitch decks likely see smaller time savings due to heavier review cycles.</w:t>
      </w:r>
    </w:p>
    <w:p>
      <w:pPr>
        <w:pStyle w:val="ListParagraph"/>
        <w:numPr>
          <w:ilvl w:val="0"/>
          <w:numId w:val="2"/>
        </w:numPr>
        <w:spacing w:after="90"/>
      </w:pPr>
      <w:r>
        <w:rPr>
          <w:sz w:val="22"/>
          <w:szCs w:val="22"/>
        </w:rPr>
        <w:t xml:space="preserve">Cost-structure sensitivity: because Indian fully-loaded salary costs are typically lower in absolute terms than in US/global benchmarks, the tool subscription cost represents a larger share of the total cost-benefit equation here — the payback period (~3-4 months) is meaningfully longer than it would be in a higher-wage market, even though the underlying time savings are identical. This is worth calling out explicitly in any real business case, since a decision-maker comparing this to a US benchmark might otherwise expect a faster payback.</w:t>
      </w:r>
    </w:p>
    <w:p>
      <w:pPr>
        <w:pStyle w:val="Heading1"/>
        <w:pBdr>
          <w:bottom w:val="single" w:color="2E5C3E" w:sz="8" w:space="4"/>
        </w:pBdr>
        <w:spacing w:after="160" w:before="360"/>
      </w:pPr>
      <w:r>
        <w:rPr>
          <w:b/>
          <w:bCs/>
          <w:color w:val="2E5C3E"/>
          <w:sz w:val="30"/>
          <w:szCs w:val="30"/>
        </w:rPr>
        <w:t xml:space="preserve">Recommendation Framework</w:t>
      </w:r>
    </w:p>
    <w:p>
      <w:pPr>
        <w:spacing w:after="160" w:line="300"/>
      </w:pPr>
      <w:r>
        <w:rPr>
          <w:sz w:val="22"/>
          <w:szCs w:val="22"/>
        </w:rPr>
        <w:t xml:space="preserve">For an actual internal business case, three things should be substituted before presenting this to a decision-maker:</w:t>
      </w:r>
    </w:p>
    <w:p>
      <w:pPr>
        <w:pStyle w:val="ListParagraph"/>
        <w:numPr>
          <w:ilvl w:val="0"/>
          <w:numId w:val="2"/>
        </w:numPr>
        <w:spacing w:after="90"/>
      </w:pPr>
      <w:r>
        <w:rPr>
          <w:sz w:val="22"/>
          <w:szCs w:val="22"/>
        </w:rPr>
        <w:t xml:space="preserve">Replace the assumptions above with real figures from the target team — actual headcount, actual decks/month (pull from shared drive or deck-tracking tool if available), and actual loaded cost per hour from Finance/HR.</w:t>
      </w:r>
    </w:p>
    <w:p>
      <w:pPr>
        <w:pStyle w:val="ListParagraph"/>
        <w:numPr>
          <w:ilvl w:val="0"/>
          <w:numId w:val="2"/>
        </w:numPr>
        <w:spacing w:after="90"/>
      </w:pPr>
      <w:r>
        <w:rPr>
          <w:sz w:val="22"/>
          <w:szCs w:val="22"/>
        </w:rPr>
        <w:t xml:space="preserve">Run a 4-6 week pilot with a small group before committing team-wide, and measure actual time-per-deck before and after — this replaces every assumption in this model with real data.</w:t>
      </w:r>
    </w:p>
    <w:p>
      <w:pPr>
        <w:pStyle w:val="ListParagraph"/>
        <w:numPr>
          <w:ilvl w:val="0"/>
          <w:numId w:val="2"/>
        </w:numPr>
        <w:spacing w:after="90"/>
      </w:pPr>
      <w:r>
        <w:rPr>
          <w:sz w:val="22"/>
          <w:szCs w:val="22"/>
        </w:rPr>
        <w:t xml:space="preserve">Track a quality metric alongside the time metric (e.g., stakeholder satisfaction score, revision cycles needed) so the business case isn't time-savings alone — a faster deck that requires three extra rounds of edits isn't actually a win.</w:t>
      </w:r>
    </w:p>
    <w:p>
      <w:pPr>
        <w:pStyle w:val="Heading1"/>
        <w:pBdr>
          <w:bottom w:val="single" w:color="2E5C3E" w:sz="8" w:space="4"/>
        </w:pBdr>
        <w:spacing w:after="160" w:before="360"/>
      </w:pPr>
      <w:r>
        <w:rPr>
          <w:b/>
          <w:bCs/>
          <w:color w:val="2E5C3E"/>
          <w:sz w:val="30"/>
          <w:szCs w:val="30"/>
        </w:rPr>
        <w:t xml:space="preserve">Sources</w:t>
      </w:r>
    </w:p>
    <w:p>
      <w:pPr>
        <w:spacing w:after="160" w:line="300"/>
      </w:pPr>
      <w:r>
        <w:rPr>
          <w:i/>
          <w:iCs/>
          <w:color w:val="595959"/>
          <w:sz w:val="20"/>
          <w:szCs w:val="20"/>
        </w:rPr>
        <w:t xml:space="preserve">Time-use benchmarks were drawn from independent, third-party workplace surveys, including studies referenced via innofact/presentationload.com, empowersuite.com's Global PowerPoint Study, buffalo7.co.uk, sketchbubble.com, and leanr.one. All figures should be re-verified and, where possible, replaced with internal company data before use in a real budget or tooling decision.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2026-07-31T18:21:47.707Z</dcterms:created>
  <dcterms:modified xsi:type="dcterms:W3CDTF">2026-07-31T18:21:47.707Z</dcterms:modified>
</cp:coreProperties>
</file>

<file path=docProps/custom.xml><?xml version="1.0" encoding="utf-8"?>
<Properties xmlns="http://schemas.openxmlformats.org/officeDocument/2006/custom-properties" xmlns:vt="http://schemas.openxmlformats.org/officeDocument/2006/docPropsVTypes"/>
</file>