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00"/>
        <w:jc w:val="center"/>
      </w:pPr>
      <w:r>
        <w:rPr>
          <w:b/>
          <w:bCs/>
          <w:color w:val="0B2545"/>
          <w:sz w:val="64"/>
          <w:szCs w:val="64"/>
        </w:rPr>
        <w:t xml:space="preserve">CDN Performance Hub</w:t>
      </w:r>
    </w:p>
    <w:p>
      <w:pPr>
        <w:spacing w:after="120"/>
        <w:jc w:val="center"/>
      </w:pPr>
      <w:r>
        <w:rPr>
          <w:color w:val="1F6FEB"/>
          <w:sz w:val="36"/>
          <w:szCs w:val="36"/>
        </w:rPr>
        <w:t xml:space="preserve">UX Specification</w:t>
      </w:r>
    </w:p>
    <w:p>
      <w:pPr>
        <w:spacing w:after="80"/>
        <w:jc w:val="center"/>
      </w:pPr>
      <w:r>
        <w:rPr>
          <w:color w:val="595959"/>
          <w:sz w:val="24"/>
          <w:szCs w:val="24"/>
        </w:rPr>
        <w:t xml:space="preserve">IO River — Vendor-Neutral CDN Benchmarking</w:t>
      </w:r>
    </w:p>
    <w:p>
      <w:pPr>
        <w:jc w:val="center"/>
      </w:pPr>
      <w:r>
        <w:rPr>
          <w:color w:val="595959"/>
          <w:sz w:val="22"/>
          <w:szCs w:val="22"/>
        </w:rPr>
        <w:t xml:space="preserve">Version 1.0 · July 2026</w:t>
      </w:r>
    </w:p>
    <w:p>
      <w:r>
        <w:br w:type="page"/>
      </w:r>
    </w:p>
    <w:p>
      <w:pPr>
        <w:pStyle w:val="Heading1"/>
        <w:spacing w:after="160" w:before="360"/>
      </w:pPr>
      <w:r>
        <w:rPr>
          <w:color w:val="0B2545"/>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color w:val="0B2545"/>
        </w:rPr>
        <w:t xml:space="preserve">1. Overview &amp; Objectives</w:t>
      </w:r>
    </w:p>
    <w:p>
      <w:pPr>
        <w:spacing w:after="120" w:line="276"/>
      </w:pPr>
      <w:r>
        <w:t xml:space="preserve">The CDN Performance Hub evolves IO River's existing performance map (ioriver.io/performance/cdn-performance-map.html) from a filter-driven analyst tool into a guided product experience. Today the page exposes raw controls — date, geo level, latency thresholds, object size, CDN color toggles — but leaves the user to construct meaning on their own. The Hub restructures the same data around four explicit user journeys so that a first-time visitor reaches an insight within seconds, and a serious evaluator can go as deep as the data allows.</w:t>
      </w:r>
    </w:p>
    <w:p>
      <w:pPr>
        <w:spacing w:after="120" w:line="276"/>
      </w:pPr>
      <w:r>
        <w:t xml:space="preserve">The Hub must accomplish three things simultaneously: help users compare CDN performance across locations and time, help them choose the right CDN (or combination) for their workload, and let the data itself demonstrate the value of a Multi-CDN — all while keeping IO River strictly vendor-neutral.</w:t>
      </w:r>
    </w:p>
    <w:p>
      <w:pPr>
        <w:pStyle w:val="Heading2"/>
        <w:spacing w:after="120" w:before="280"/>
      </w:pPr>
      <w:r>
        <w:rPr>
          <w:color w:val="1F6FEB"/>
        </w:rPr>
        <w:t xml:space="preserve">1.1 Positioning Principles</w:t>
      </w:r>
    </w:p>
    <w:p>
      <w:pPr>
        <w:spacing w:after="120" w:line="276"/>
      </w:pPr>
      <w:r>
        <w:t xml:space="preserve">Three principles govern every screen and every piece of copy. First, neutrality: IO River never declares a favorite CDN; the data ranks vendors per location and per workload, and rankings shift as filters change. Second, the central educational message: there is no universally best CDN — performance varies by geography and by object size, and the UI should make this observable rather than assert it. Third, earned credibility: IO River VCDN and the Multi-CDN builder appear as participants in the same neutral benchmark, never as advertised products; the user discovers their advantage by comparing, not by being told.</w:t>
      </w:r>
    </w:p>
    <w:p>
      <w:pPr>
        <w:pStyle w:val="Heading2"/>
        <w:spacing w:after="120" w:before="280"/>
      </w:pPr>
      <w:r>
        <w:rPr>
          <w:color w:val="1F6FEB"/>
        </w:rPr>
        <w:t xml:space="preserve">1.2 Success Criteria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c>
          <w:tcPr>
            <w:tcW w:type="dxa" w:w="3200"/>
            <w:shd w:fill="1F6FEB" w:val="clear"/>
            <w:tcMar>
              <w:top w:type="dxa" w:w="80"/>
              <w:left w:type="dxa" w:w="120"/>
              <w:bottom w:type="dxa" w:w="80"/>
              <w:right w:type="dxa" w:w="120"/>
            </w:tcMar>
          </w:tcPr>
          <w:p>
            <w:pPr>
              <w:spacing w:after="0" w:line="260"/>
            </w:pPr>
            <w:r>
              <w:rPr>
                <w:b/>
                <w:bCs/>
                <w:color w:val="FFFFFF"/>
                <w:sz w:val="21"/>
                <w:szCs w:val="21"/>
              </w:rPr>
              <w:t xml:space="preserve">Signal</w:t>
            </w:r>
          </w:p>
        </w:tc>
        <w:tc>
          <w:tcPr>
            <w:tcW w:type="dxa" w:w="6100"/>
            <w:shd w:fill="1F6FEB" w:val="clear"/>
            <w:tcMar>
              <w:top w:type="dxa" w:w="80"/>
              <w:left w:type="dxa" w:w="120"/>
              <w:bottom w:type="dxa" w:w="80"/>
              <w:right w:type="dxa" w:w="120"/>
            </w:tcMar>
          </w:tcPr>
          <w:p>
            <w:pPr>
              <w:spacing w:after="0" w:line="260"/>
            </w:pPr>
            <w:r>
              <w:rPr>
                <w:b/>
                <w:bCs/>
                <w:color w:val="FFFFFF"/>
                <w:sz w:val="21"/>
                <w:szCs w:val="21"/>
              </w:rPr>
              <w:t xml:space="preserve">Definition</w:t>
            </w:r>
          </w:p>
        </w:tc>
      </w:tr>
      <w:tr>
        <w:tc>
          <w:tcPr>
            <w:tcW w:type="dxa" w:w="3200"/>
            <w:tcMar>
              <w:top w:type="dxa" w:w="80"/>
              <w:left w:type="dxa" w:w="120"/>
              <w:bottom w:type="dxa" w:w="80"/>
              <w:right w:type="dxa" w:w="120"/>
            </w:tcMar>
          </w:tcPr>
          <w:p>
            <w:pPr>
              <w:spacing w:after="0" w:line="260"/>
            </w:pPr>
            <w:r>
              <w:rPr>
                <w:b w:val="false"/>
                <w:bCs w:val="false"/>
                <w:sz w:val="21"/>
                <w:szCs w:val="21"/>
              </w:rPr>
              <w:t xml:space="preserve">Time to first insight</w:t>
            </w:r>
          </w:p>
        </w:tc>
        <w:tc>
          <w:tcPr>
            <w:tcW w:type="dxa" w:w="6100"/>
            <w:tcMar>
              <w:top w:type="dxa" w:w="80"/>
              <w:left w:type="dxa" w:w="120"/>
              <w:bottom w:type="dxa" w:w="80"/>
              <w:right w:type="dxa" w:w="120"/>
            </w:tcMar>
          </w:tcPr>
          <w:p>
            <w:pPr>
              <w:spacing w:after="0" w:line="260"/>
            </w:pPr>
            <w:r>
              <w:rPr>
                <w:b w:val="false"/>
                <w:bCs w:val="false"/>
                <w:sz w:val="21"/>
                <w:szCs w:val="21"/>
              </w:rPr>
              <w:t xml:space="preserve">A new visitor sees a colored best-CDN map with a plain-language takeaway within 5 seconds, zero configuration required.</w:t>
            </w:r>
          </w:p>
        </w:tc>
      </w:tr>
      <w:tr>
        <w:tc>
          <w:tcPr>
            <w:tcW w:type="dxa" w:w="3200"/>
            <w:shd w:fill="EEF4FB" w:val="clear"/>
            <w:tcMar>
              <w:top w:type="dxa" w:w="80"/>
              <w:left w:type="dxa" w:w="120"/>
              <w:bottom w:type="dxa" w:w="80"/>
              <w:right w:type="dxa" w:w="120"/>
            </w:tcMar>
          </w:tcPr>
          <w:p>
            <w:pPr>
              <w:spacing w:after="0" w:line="260"/>
            </w:pPr>
            <w:r>
              <w:rPr>
                <w:b w:val="false"/>
                <w:bCs w:val="false"/>
                <w:sz w:val="21"/>
                <w:szCs w:val="21"/>
              </w:rPr>
              <w:t xml:space="preserve">Journey completion</w:t>
            </w:r>
          </w:p>
        </w:tc>
        <w:tc>
          <w:tcPr>
            <w:tcW w:type="dxa" w:w="6100"/>
            <w:shd w:fill="EEF4FB" w:val="clear"/>
            <w:tcMar>
              <w:top w:type="dxa" w:w="80"/>
              <w:left w:type="dxa" w:w="120"/>
              <w:bottom w:type="dxa" w:w="80"/>
              <w:right w:type="dxa" w:w="120"/>
            </w:tcMar>
          </w:tcPr>
          <w:p>
            <w:pPr>
              <w:spacing w:after="0" w:line="260"/>
            </w:pPr>
            <w:r>
              <w:rPr>
                <w:b w:val="false"/>
                <w:bCs w:val="false"/>
                <w:sz w:val="21"/>
                <w:szCs w:val="21"/>
              </w:rPr>
              <w:t xml:space="preserve">Each of the four journeys (purchase decision, infrastructure evaluation, VCDN comparison, Multi-CDN education) is reachable in one click from the landing state.</w:t>
            </w:r>
          </w:p>
        </w:tc>
      </w:tr>
      <w:tr>
        <w:tc>
          <w:tcPr>
            <w:tcW w:type="dxa" w:w="3200"/>
            <w:tcMar>
              <w:top w:type="dxa" w:w="80"/>
              <w:left w:type="dxa" w:w="120"/>
              <w:bottom w:type="dxa" w:w="80"/>
              <w:right w:type="dxa" w:w="120"/>
            </w:tcMar>
          </w:tcPr>
          <w:p>
            <w:pPr>
              <w:spacing w:after="0" w:line="260"/>
            </w:pPr>
            <w:r>
              <w:rPr>
                <w:b w:val="false"/>
                <w:bCs w:val="false"/>
                <w:sz w:val="21"/>
                <w:szCs w:val="21"/>
              </w:rPr>
              <w:t xml:space="preserve">Neutrality perception</w:t>
            </w:r>
          </w:p>
        </w:tc>
        <w:tc>
          <w:tcPr>
            <w:tcW w:type="dxa" w:w="6100"/>
            <w:tcMar>
              <w:top w:type="dxa" w:w="80"/>
              <w:left w:type="dxa" w:w="120"/>
              <w:bottom w:type="dxa" w:w="80"/>
              <w:right w:type="dxa" w:w="120"/>
            </w:tcMar>
          </w:tcPr>
          <w:p>
            <w:pPr>
              <w:spacing w:after="0" w:line="260"/>
            </w:pPr>
            <w:r>
              <w:rPr>
                <w:b w:val="false"/>
                <w:bCs w:val="false"/>
                <w:sz w:val="21"/>
                <w:szCs w:val="21"/>
              </w:rPr>
              <w:t xml:space="preserve">No CDN is visually privileged; copy uses “best performing in this view” language, never absolute claims.</w:t>
            </w:r>
          </w:p>
        </w:tc>
      </w:tr>
      <w:tr>
        <w:tc>
          <w:tcPr>
            <w:tcW w:type="dxa" w:w="3200"/>
            <w:shd w:fill="EEF4FB" w:val="clear"/>
            <w:tcMar>
              <w:top w:type="dxa" w:w="80"/>
              <w:left w:type="dxa" w:w="120"/>
              <w:bottom w:type="dxa" w:w="80"/>
              <w:right w:type="dxa" w:w="120"/>
            </w:tcMar>
          </w:tcPr>
          <w:p>
            <w:pPr>
              <w:spacing w:after="0" w:line="260"/>
            </w:pPr>
            <w:r>
              <w:rPr>
                <w:b w:val="false"/>
                <w:bCs w:val="false"/>
                <w:sz w:val="21"/>
                <w:szCs w:val="21"/>
              </w:rPr>
              <w:t xml:space="preserve">Depth on demand</w:t>
            </w:r>
          </w:p>
        </w:tc>
        <w:tc>
          <w:tcPr>
            <w:tcW w:type="dxa" w:w="6100"/>
            <w:shd w:fill="EEF4FB" w:val="clear"/>
            <w:tcMar>
              <w:top w:type="dxa" w:w="80"/>
              <w:left w:type="dxa" w:w="120"/>
              <w:bottom w:type="dxa" w:w="80"/>
              <w:right w:type="dxa" w:w="120"/>
            </w:tcMar>
          </w:tcPr>
          <w:p>
            <w:pPr>
              <w:spacing w:after="0" w:line="260"/>
            </w:pPr>
            <w:r>
              <w:rPr>
                <w:b w:val="false"/>
                <w:bCs w:val="false"/>
                <w:sz w:val="21"/>
                <w:szCs w:val="21"/>
              </w:rPr>
              <w:t xml:space="preserve">Absolute latency values, percentiles, and per-location breakdowns are one interaction away from every summary view.</w:t>
            </w:r>
          </w:p>
        </w:tc>
      </w:tr>
    </w:tbl>
    <w:p>
      <w:pPr>
        <w:pStyle w:val="Heading1"/>
        <w:spacing w:after="160" w:before="360"/>
      </w:pPr>
      <w:r>
        <w:rPr>
          <w:color w:val="0B2545"/>
        </w:rPr>
        <w:t xml:space="preserve">2. Information Architecture &amp; Navigation</w:t>
      </w:r>
    </w:p>
    <w:p>
      <w:pPr>
        <w:spacing w:after="120" w:line="276"/>
      </w:pPr>
      <w:r>
        <w:t xml:space="preserve">The Hub is a single-page application with four modes, presented as a persistent segmented navigation directly under the page header. Each mode maps to one user journey, so navigation labels are phrased as user intents rather than feature names.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00"/>
      </w:tblGrid>
      <w:tr>
        <w:tc>
          <w:tcPr>
            <w:tcW w:type="dxa" w:w="2500"/>
            <w:shd w:fill="1F6FEB" w:val="clear"/>
            <w:tcMar>
              <w:top w:type="dxa" w:w="80"/>
              <w:left w:type="dxa" w:w="120"/>
              <w:bottom w:type="dxa" w:w="80"/>
              <w:right w:type="dxa" w:w="120"/>
            </w:tcMar>
          </w:tcPr>
          <w:p>
            <w:pPr>
              <w:spacing w:after="0" w:line="260"/>
            </w:pPr>
            <w:r>
              <w:rPr>
                <w:b/>
                <w:bCs/>
                <w:color w:val="FFFFFF"/>
                <w:sz w:val="21"/>
                <w:szCs w:val="21"/>
              </w:rPr>
              <w:t xml:space="preserve">Mode (nav label)</w:t>
            </w:r>
          </w:p>
        </w:tc>
        <w:tc>
          <w:tcPr>
            <w:tcW w:type="dxa" w:w="3400"/>
            <w:shd w:fill="1F6FEB" w:val="clear"/>
            <w:tcMar>
              <w:top w:type="dxa" w:w="80"/>
              <w:left w:type="dxa" w:w="120"/>
              <w:bottom w:type="dxa" w:w="80"/>
              <w:right w:type="dxa" w:w="120"/>
            </w:tcMar>
          </w:tcPr>
          <w:p>
            <w:pPr>
              <w:spacing w:after="0" w:line="260"/>
            </w:pPr>
            <w:r>
              <w:rPr>
                <w:b/>
                <w:bCs/>
                <w:color w:val="FFFFFF"/>
                <w:sz w:val="21"/>
                <w:szCs w:val="21"/>
              </w:rPr>
              <w:t xml:space="preserve">Journey served</w:t>
            </w:r>
          </w:p>
        </w:tc>
        <w:tc>
          <w:tcPr>
            <w:tcW w:type="dxa" w:w="3400"/>
            <w:shd w:fill="1F6FEB" w:val="clear"/>
            <w:tcMar>
              <w:top w:type="dxa" w:w="80"/>
              <w:left w:type="dxa" w:w="120"/>
              <w:bottom w:type="dxa" w:w="80"/>
              <w:right w:type="dxa" w:w="120"/>
            </w:tcMar>
          </w:tcPr>
          <w:p>
            <w:pPr>
              <w:spacing w:after="0" w:line="260"/>
            </w:pPr>
            <w:r>
              <w:rPr>
                <w:b/>
                <w:bCs/>
                <w:color w:val="FFFFFF"/>
                <w:sz w:val="21"/>
                <w:szCs w:val="21"/>
              </w:rPr>
              <w:t xml:space="preserve">Primary view</w:t>
            </w:r>
          </w:p>
        </w:tc>
      </w:tr>
      <w:tr>
        <w:tc>
          <w:tcPr>
            <w:tcW w:type="dxa" w:w="2500"/>
            <w:tcMar>
              <w:top w:type="dxa" w:w="80"/>
              <w:left w:type="dxa" w:w="120"/>
              <w:bottom w:type="dxa" w:w="80"/>
              <w:right w:type="dxa" w:w="120"/>
            </w:tcMar>
          </w:tcPr>
          <w:p>
            <w:pPr>
              <w:spacing w:after="0" w:line="260"/>
            </w:pPr>
            <w:r>
              <w:rPr>
                <w:b w:val="false"/>
                <w:bCs w:val="false"/>
                <w:sz w:val="21"/>
                <w:szCs w:val="21"/>
              </w:rPr>
              <w:t xml:space="preserve">Best CDN Map (default)</w:t>
            </w:r>
          </w:p>
        </w:tc>
        <w:tc>
          <w:tcPr>
            <w:tcW w:type="dxa" w:w="3400"/>
            <w:tcMar>
              <w:top w:type="dxa" w:w="80"/>
              <w:left w:type="dxa" w:w="120"/>
              <w:bottom w:type="dxa" w:w="80"/>
              <w:right w:type="dxa" w:w="120"/>
            </w:tcMar>
          </w:tcPr>
          <w:p>
            <w:pPr>
              <w:spacing w:after="0" w:line="260"/>
            </w:pPr>
            <w:r>
              <w:rPr>
                <w:b w:val="false"/>
                <w:bCs w:val="false"/>
                <w:sz w:val="21"/>
                <w:szCs w:val="21"/>
              </w:rPr>
              <w:t xml:space="preserve">Wiser purchase decision</w:t>
            </w:r>
          </w:p>
        </w:tc>
        <w:tc>
          <w:tcPr>
            <w:tcW w:type="dxa" w:w="3400"/>
            <w:tcMar>
              <w:top w:type="dxa" w:w="80"/>
              <w:left w:type="dxa" w:w="120"/>
              <w:bottom w:type="dxa" w:w="80"/>
              <w:right w:type="dxa" w:w="120"/>
            </w:tcMar>
          </w:tcPr>
          <w:p>
            <w:pPr>
              <w:spacing w:after="0" w:line="260"/>
            </w:pPr>
            <w:r>
              <w:rPr>
                <w:b w:val="false"/>
                <w:bCs w:val="false"/>
                <w:sz w:val="21"/>
                <w:szCs w:val="21"/>
              </w:rPr>
              <w:t xml:space="preserve">Choropleth map colored by winning CDN per location</w:t>
            </w:r>
          </w:p>
        </w:tc>
      </w:tr>
      <w:tr>
        <w:tc>
          <w:tcPr>
            <w:tcW w:type="dxa" w:w="2500"/>
            <w:shd w:fill="EEF4FB" w:val="clear"/>
            <w:tcMar>
              <w:top w:type="dxa" w:w="80"/>
              <w:left w:type="dxa" w:w="120"/>
              <w:bottom w:type="dxa" w:w="80"/>
              <w:right w:type="dxa" w:w="120"/>
            </w:tcMar>
          </w:tcPr>
          <w:p>
            <w:pPr>
              <w:spacing w:after="0" w:line="260"/>
            </w:pPr>
            <w:r>
              <w:rPr>
                <w:b w:val="false"/>
                <w:bCs w:val="false"/>
                <w:sz w:val="21"/>
                <w:szCs w:val="21"/>
              </w:rPr>
              <w:t xml:space="preserve">Compare My CDN</w:t>
            </w:r>
          </w:p>
        </w:tc>
        <w:tc>
          <w:tcPr>
            <w:tcW w:type="dxa" w:w="3400"/>
            <w:shd w:fill="EEF4FB" w:val="clear"/>
            <w:tcMar>
              <w:top w:type="dxa" w:w="80"/>
              <w:left w:type="dxa" w:w="120"/>
              <w:bottom w:type="dxa" w:w="80"/>
              <w:right w:type="dxa" w:w="120"/>
            </w:tcMar>
          </w:tcPr>
          <w:p>
            <w:pPr>
              <w:spacing w:after="0" w:line="260"/>
            </w:pPr>
            <w:r>
              <w:rPr>
                <w:b w:val="false"/>
                <w:bCs w:val="false"/>
                <w:sz w:val="21"/>
                <w:szCs w:val="21"/>
              </w:rPr>
              <w:t xml:space="preserve">Evaluate existing infrastructure</w:t>
            </w:r>
          </w:p>
        </w:tc>
        <w:tc>
          <w:tcPr>
            <w:tcW w:type="dxa" w:w="3400"/>
            <w:shd w:fill="EEF4FB" w:val="clear"/>
            <w:tcMar>
              <w:top w:type="dxa" w:w="80"/>
              <w:left w:type="dxa" w:w="120"/>
              <w:bottom w:type="dxa" w:w="80"/>
              <w:right w:type="dxa" w:w="120"/>
            </w:tcMar>
          </w:tcPr>
          <w:p>
            <w:pPr>
              <w:spacing w:after="0" w:line="260"/>
            </w:pPr>
            <w:r>
              <w:rPr>
                <w:b w:val="false"/>
                <w:bCs w:val="false"/>
                <w:sz w:val="21"/>
                <w:szCs w:val="21"/>
              </w:rPr>
              <w:t xml:space="preserve">User's CDN vs. best-in-location delta map</w:t>
            </w:r>
          </w:p>
        </w:tc>
      </w:tr>
      <w:tr>
        <w:tc>
          <w:tcPr>
            <w:tcW w:type="dxa" w:w="2500"/>
            <w:tcMar>
              <w:top w:type="dxa" w:w="80"/>
              <w:left w:type="dxa" w:w="120"/>
              <w:bottom w:type="dxa" w:w="80"/>
              <w:right w:type="dxa" w:w="120"/>
            </w:tcMar>
          </w:tcPr>
          <w:p>
            <w:pPr>
              <w:spacing w:after="0" w:line="260"/>
            </w:pPr>
            <w:r>
              <w:rPr>
                <w:b w:val="false"/>
                <w:bCs w:val="false"/>
                <w:sz w:val="21"/>
                <w:szCs w:val="21"/>
              </w:rPr>
              <w:t xml:space="preserve">IO River VCDN</w:t>
            </w:r>
          </w:p>
        </w:tc>
        <w:tc>
          <w:tcPr>
            <w:tcW w:type="dxa" w:w="3400"/>
            <w:tcMar>
              <w:top w:type="dxa" w:w="80"/>
              <w:left w:type="dxa" w:w="120"/>
              <w:bottom w:type="dxa" w:w="80"/>
              <w:right w:type="dxa" w:w="120"/>
            </w:tcMar>
          </w:tcPr>
          <w:p>
            <w:pPr>
              <w:spacing w:after="0" w:line="260"/>
            </w:pPr>
            <w:r>
              <w:rPr>
                <w:b w:val="false"/>
                <w:bCs w:val="false"/>
                <w:sz w:val="21"/>
                <w:szCs w:val="21"/>
              </w:rPr>
              <w:t xml:space="preserve">Learn about VCDN</w:t>
            </w:r>
          </w:p>
        </w:tc>
        <w:tc>
          <w:tcPr>
            <w:tcW w:type="dxa" w:w="3400"/>
            <w:tcMar>
              <w:top w:type="dxa" w:w="80"/>
              <w:left w:type="dxa" w:w="120"/>
              <w:bottom w:type="dxa" w:w="80"/>
              <w:right w:type="dxa" w:w="120"/>
            </w:tcMar>
          </w:tcPr>
          <w:p>
            <w:pPr>
              <w:spacing w:after="0" w:line="260"/>
            </w:pPr>
            <w:r>
              <w:rPr>
                <w:b w:val="false"/>
                <w:bCs w:val="false"/>
                <w:sz w:val="21"/>
                <w:szCs w:val="21"/>
              </w:rPr>
              <w:t xml:space="preserve">Head-to-head: any CDN vs. VCDN</w:t>
            </w:r>
          </w:p>
        </w:tc>
      </w:tr>
      <w:tr>
        <w:tc>
          <w:tcPr>
            <w:tcW w:type="dxa" w:w="2500"/>
            <w:shd w:fill="EEF4FB" w:val="clear"/>
            <w:tcMar>
              <w:top w:type="dxa" w:w="80"/>
              <w:left w:type="dxa" w:w="120"/>
              <w:bottom w:type="dxa" w:w="80"/>
              <w:right w:type="dxa" w:w="120"/>
            </w:tcMar>
          </w:tcPr>
          <w:p>
            <w:pPr>
              <w:spacing w:after="0" w:line="260"/>
            </w:pPr>
            <w:r>
              <w:rPr>
                <w:b w:val="false"/>
                <w:bCs w:val="false"/>
                <w:sz w:val="21"/>
                <w:szCs w:val="21"/>
              </w:rPr>
              <w:t xml:space="preserve">Multi-CDN Builder</w:t>
            </w:r>
          </w:p>
        </w:tc>
        <w:tc>
          <w:tcPr>
            <w:tcW w:type="dxa" w:w="3400"/>
            <w:shd w:fill="EEF4FB" w:val="clear"/>
            <w:tcMar>
              <w:top w:type="dxa" w:w="80"/>
              <w:left w:type="dxa" w:w="120"/>
              <w:bottom w:type="dxa" w:w="80"/>
              <w:right w:type="dxa" w:w="120"/>
            </w:tcMar>
          </w:tcPr>
          <w:p>
            <w:pPr>
              <w:spacing w:after="0" w:line="260"/>
            </w:pPr>
            <w:r>
              <w:rPr>
                <w:b w:val="false"/>
                <w:bCs w:val="false"/>
                <w:sz w:val="21"/>
                <w:szCs w:val="21"/>
              </w:rPr>
              <w:t xml:space="preserve">Learn Multi-CDN advantages</w:t>
            </w:r>
          </w:p>
        </w:tc>
        <w:tc>
          <w:tcPr>
            <w:tcW w:type="dxa" w:w="3400"/>
            <w:shd w:fill="EEF4FB" w:val="clear"/>
            <w:tcMar>
              <w:top w:type="dxa" w:w="80"/>
              <w:left w:type="dxa" w:w="120"/>
              <w:bottom w:type="dxa" w:w="80"/>
              <w:right w:type="dxa" w:w="120"/>
            </w:tcMar>
          </w:tcPr>
          <w:p>
            <w:pPr>
              <w:spacing w:after="0" w:line="260"/>
            </w:pPr>
            <w:r>
              <w:rPr>
                <w:b w:val="false"/>
                <w:bCs w:val="false"/>
                <w:sz w:val="21"/>
                <w:szCs w:val="21"/>
              </w:rPr>
              <w:t xml:space="preserve">Composable multi-CDN vs. single CDN</w:t>
            </w:r>
          </w:p>
        </w:tc>
      </w:tr>
    </w:tbl>
    <w:p>
      <w:pPr>
        <w:spacing w:after="120" w:line="276"/>
      </w:pPr>
      <w:r>
        <w:t xml:space="preserve">A shared global control bar sits above all modes and persists across mode switches, so a user who has set “Europe, large objects, last 30 days” keeps that context while moving between journeys. The control bar contains: Region scope (Global / US / Europe), Timeline granularity (Daily / Weekly / Monthly) with a date-range picker, and Object size (Small / Large) presented as a two-option toggle with a one-line explainer (“Small ≈ API responses &amp; page assets · Large ≈ video segments &amp; downloads”).</w:t>
      </w:r>
    </w:p>
    <w:p>
      <w:pPr>
        <w:spacing w:after="120" w:line="276"/>
      </w:pPr>
      <w:r>
        <w:t xml:space="preserve">Below the map, every mode shows the same three-tier layout: (1) the map as the hero, (2) an insight strip — one auto-generated plain-language sentence summarizing the current view, and (3) an expandable data table with per-location absolute latency values. This consistency means users learn the layout once.</w:t>
      </w:r>
    </w:p>
    <w:p>
      <w:pPr>
        <w:pStyle w:val="Heading2"/>
        <w:spacing w:after="120" w:before="280"/>
      </w:pPr>
      <w:r>
        <w:rPr>
          <w:color w:val="1F6FEB"/>
        </w:rPr>
        <w:t xml:space="preserve">2.1 Page Skeleton</w:t>
      </w:r>
    </w:p>
    <w:p>
      <w:pPr>
        <w:spacing w:after="120" w:line="276"/>
      </w:pPr>
      <w:r>
        <w:t xml:space="preserve">Header: title “CDN Performance Hub”, subtitle “Independent, continuously-measured CDN benchmarks by IO River”, and a methodology link. Mode navigation (segmented control, 4 items). Global control bar. Hero map with legend. Insight strip. Detail panel (timeline chart + data table, collapsed by default on mobile). Footer: methodology summary, measurement network description, data freshness stamp (“Last updated: &lt;timestamp&gt;, N million measurements”).</w:t>
      </w:r>
    </w:p>
    <w:p>
      <w:pPr>
        <w:pStyle w:val="Heading1"/>
        <w:spacing w:after="160" w:before="360"/>
      </w:pPr>
      <w:r>
        <w:rPr>
          <w:color w:val="0B2545"/>
        </w:rPr>
        <w:t xml:space="preserve">3. Default View — Best CDN Map</w:t>
      </w:r>
    </w:p>
    <w:p>
      <w:pPr>
        <w:spacing w:after="120" w:line="276"/>
      </w:pPr>
      <w:r>
        <w:t xml:space="preserve">The landing state answers the question “who is fastest where?” with zero input. The map renders at country level (or state level when scoped to US), with each region filled in the color of its best-performing CDN for the current object size and time window. The legend lists only the CDNs that actually win at least one region in the current view, each with a color swatch, its name, and the count of regions it wins (e.g., “Cloudflare — 31 countries”). CDNs that win nothing are collapsed under “Others measured (9)” to keep the legend scannable and to visually reinforce that many vendors compete.</w:t>
      </w:r>
    </w:p>
    <w:p>
      <w:pPr>
        <w:spacing w:after="120" w:line="276"/>
      </w:pPr>
      <w:r>
        <w:t xml:space="preserve">The insight strip under the map generates a sentence from the live data, for example: “Across Europe over the last 30 days, 5 different CDNs are fastest in at least one country — no single CDN wins everywhere.” This sentence is the neutrality message expressed as a fact, and it changes with every filter change, which teaches users that the answer depends on the question.</w:t>
      </w:r>
    </w:p>
    <w:p>
      <w:pPr>
        <w:pStyle w:val="Heading2"/>
        <w:spacing w:after="120" w:before="280"/>
      </w:pPr>
      <w:r>
        <w:rPr>
          <w:color w:val="1F6FEB"/>
        </w:rPr>
        <w:t xml:space="preserve">3.1 Map Interactions</w:t>
      </w:r>
    </w:p>
    <w:p>
      <w:pPr>
        <w:spacing w:after="120" w:line="276"/>
      </w:pPr>
      <w:r>
        <w:t xml:space="preserve">Hovering a region opens a tooltip with: region name, ranked top-3 CDNs with absolute median latency in ms, and the gap between #1 and #2 (“Fastly leads Bunny.net by 4 ms”). Clicking a region pins a side panel with the full ranked list of all measured CDNs for that region, a mini timeline of the top-3 over the selected window, and small/large object values side by side. Clicking a CDN in the legend highlights only its winning regions and dims the rest; a second click restores the full view. The map supports two color modes via a small toggle: “Best CDN” (categorical, default) and “Absolute latency” (sequential green/yellow/orange/red scale using the existing thresholds: green ≤ 30 ms, yellow ≤ 60 ms, orange ≤ 120 ms, red above), preserving the current tool's capability inside a clearer structure.</w:t>
      </w:r>
    </w:p>
    <w:p>
      <w:pPr>
        <w:pStyle w:val="Heading2"/>
        <w:spacing w:after="120" w:before="280"/>
      </w:pPr>
      <w:r>
        <w:rPr>
          <w:color w:val="1F6FEB"/>
        </w:rPr>
        <w:t xml:space="preserve">3.2 Timeline</w:t>
      </w:r>
    </w:p>
    <w:p>
      <w:pPr>
        <w:spacing w:after="120" w:line="276"/>
      </w:pPr>
      <w:r>
        <w:t xml:space="preserve">The detail panel's timeline chart plots median latency per CDN over the selected range at daily, weekly, or monthly granularity. By default it shows the top 5 CDNs for the current scope; any measured CDN can be added from a searchable picker. A range brush lets users zoom; annotations mark days where the regional winner changed, reinforcing that leadership shifts over time. Weekly and monthly views aggregate by median with a shaded band for p25–p75 spread.</w:t>
      </w:r>
    </w:p>
    <w:p>
      <w:pPr>
        <w:pStyle w:val="Heading1"/>
        <w:spacing w:after="160" w:before="360"/>
      </w:pPr>
      <w:r>
        <w:rPr>
          <w:color w:val="0B2545"/>
        </w:rPr>
        <w:t xml:space="preserve">4. Journey Modes</w:t>
      </w:r>
    </w:p>
    <w:p>
      <w:pPr>
        <w:pStyle w:val="Heading2"/>
        <w:spacing w:after="120" w:before="280"/>
      </w:pPr>
      <w:r>
        <w:rPr>
          <w:color w:val="1F6FEB"/>
        </w:rPr>
        <w:t xml:space="preserve">4.1 Mode 1 — Best CDN Map (Wiser Purchase Decision)</w:t>
      </w:r>
    </w:p>
    <w:p>
      <w:pPr>
        <w:spacing w:after="120" w:line="276"/>
      </w:pPr>
      <w:r>
        <w:t xml:space="preserve">Persona and intent: a buyer who has not yet signed a CDN contract and wants to know which vendor best fits their audience geography and traffic profile before purchasing.</w:t>
      </w:r>
    </w:p>
    <w:p>
      <w:pPr>
        <w:spacing w:after="120" w:line="276"/>
      </w:pPr>
      <w:r>
        <w:t xml:space="preserve">Flow: land on default map → scope the region to where their users are → set object size to match their traffic (the explainer copy helps them self-classify) → optionally adjust the time window to check stability → read the insight strip and per-region tooltips → open the data table for absolute numbers.</w:t>
      </w:r>
    </w:p>
    <w:p>
      <w:pPr>
        <w:spacing w:after="120" w:line="276"/>
      </w:pPr>
      <w:r>
        <w:t xml:space="preserve">Dedicated affordance: a “Match my traffic” helper — a lightweight, optional 3-question inline form (Where are your users? What do you deliver: mostly small objects, mostly large, or mixed? How latency-sensitive are you?) that sets the filters accordingly and scrolls to the resulting view. It never asks for contact details; it is a filter shortcut, not a lead form. Exit state: a “Copy summary” button producing a shareable text snippet (“For US users delivering large objects, the fastest CDNs over the last 30 days were: …”) suitable for pasting into an internal evaluation doc.</w:t>
      </w:r>
    </w:p>
    <w:p>
      <w:pPr>
        <w:pStyle w:val="Heading2"/>
        <w:spacing w:after="120" w:before="280"/>
      </w:pPr>
      <w:r>
        <w:rPr>
          <w:color w:val="1F6FEB"/>
        </w:rPr>
        <w:t xml:space="preserve">4.2 Mode 2 — Compare My CDN (Evaluate Existing Infrastructure)</w:t>
      </w:r>
    </w:p>
    <w:p>
      <w:pPr>
        <w:spacing w:after="120" w:line="276"/>
      </w:pPr>
      <w:r>
        <w:t xml:space="preserve">Persona and intent: an engineer or manager who already runs one or more CDNs and wants to know how far their setup is from the achievable optimum.</w:t>
      </w:r>
    </w:p>
    <w:p>
      <w:pPr>
        <w:spacing w:after="120" w:line="276"/>
      </w:pPr>
      <w:r>
        <w:t xml:space="preserve">Entry: a CDN multi-select labeled “Which CDN(s) do you use today?”. Once selected, the map switches to a delta visualization: each region is colored by the gap between the user's best CDN in that region and the overall best CDN there. A diverging scale communicates the answer instantly — deep green means “you already have the best CDN here”, through yellow and orange to red for large gaps. Tooltips show: your CDN's latency, the region winner and its latency, and the delta in ms and percent.</w:t>
      </w:r>
    </w:p>
    <w:p>
      <w:pPr>
        <w:spacing w:after="120" w:line="276"/>
      </w:pPr>
      <w:r>
        <w:t xml:space="preserve">Above the map, a scorecard summarizes the whole selection: “Your CDN is the fastest in 12 of 44 countries. Average gap to optimum: 18 ms. Largest gaps: Brazil (+41 ms), India (+38 ms), Australia (+29 ms).” This framing is deliberately even-handed — a user with a well-matched CDN sees confirmation, not fear-mongering; a user with big gaps sees specific, verifiable numbers. The insight strip adds the educational close: “No single CDN is fastest everywhere — the gaps above are the cost of any single-vendor setup.” A single quiet link — “See what closing these gaps looks like → Multi-CDN Builder” — hands off to Mode 4 with the user's CDN pre-loaded.</w:t>
      </w:r>
    </w:p>
    <w:p>
      <w:pPr>
        <w:pStyle w:val="Heading2"/>
        <w:spacing w:after="120" w:before="280"/>
      </w:pPr>
      <w:r>
        <w:rPr>
          <w:color w:val="1F6FEB"/>
        </w:rPr>
        <w:t xml:space="preserve">4.3 Mode 3 — IO River VCDN (See VCDN in Action)</w:t>
      </w:r>
    </w:p>
    <w:p>
      <w:pPr>
        <w:spacing w:after="120" w:line="276"/>
      </w:pPr>
      <w:r>
        <w:t xml:space="preserve">Persona and intent: a user curious about IO River's virtual CDN who wants proof rather than claims.</w:t>
      </w:r>
    </w:p>
    <w:p>
      <w:pPr>
        <w:spacing w:after="120" w:line="276"/>
      </w:pPr>
      <w:r>
        <w:t xml:space="preserve">Layout: a head-to-head comparison. The user picks any CDN (or keeps their Mode 2 selection, which carries over); IO River VCDN is the fixed second side. The map colors each region by the winner of the pair, using two colors plus a neutral tone for statistical ties (within a defined significance band, e.g., &lt;2 ms difference — ties must be shown honestly). A split scorecard shows wins/ties/losses counts and average latency for each side.</w:t>
      </w:r>
    </w:p>
    <w:p>
      <w:pPr>
        <w:spacing w:after="120" w:line="276"/>
      </w:pPr>
      <w:r>
        <w:t xml:space="preserve">Credibility mechanics: directly under the comparison, an expandable “How VCDN gets these numbers” panel lists the source CDNs currently composing the VCDN (mirroring the existing tool's “IORiver_CDN source CDNs” control) and lets the user recompute the VCDN from a custom subset. Letting users rebuild the VCDN themselves is the strongest neutrality signal available: the advantage is demonstrably structural (routing to the best performer per region), not a marketing artifact. Copy stays factual: “VCDN routes each request to the best-performing underlying CDN for that location. That is why it wins in most regions — and why it can only be as good as its best member in each one.”</w:t>
      </w:r>
    </w:p>
    <w:p>
      <w:pPr>
        <w:pStyle w:val="Heading2"/>
        <w:spacing w:after="120" w:before="280"/>
      </w:pPr>
      <w:r>
        <w:rPr>
          <w:color w:val="1F6FEB"/>
        </w:rPr>
        <w:t xml:space="preserve">4.4 Mode 4 — Multi-CDN Builder (Learn Multi-CDN Advantages)</w:t>
      </w:r>
    </w:p>
    <w:p>
      <w:pPr>
        <w:spacing w:after="120" w:line="276"/>
      </w:pPr>
      <w:r>
        <w:t xml:space="preserve">Persona and intent: a user who wants to understand, concretely, what a Multi-CDN buys them — and ideally to design one that fits their situation.</w:t>
      </w:r>
    </w:p>
    <w:p>
      <w:pPr>
        <w:spacing w:after="120" w:line="276"/>
      </w:pPr>
      <w:r>
        <w:t xml:space="preserve">The builder is a three-step guided flow rendered in a left rail beside the live map, so every choice updates the map immediately.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3900"/>
        <w:gridCol w:w="4000"/>
      </w:tblGrid>
      <w:tr>
        <w:tc>
          <w:tcPr>
            <w:tcW w:type="dxa" w:w="1400"/>
            <w:shd w:fill="1F6FEB" w:val="clear"/>
            <w:tcMar>
              <w:top w:type="dxa" w:w="80"/>
              <w:left w:type="dxa" w:w="120"/>
              <w:bottom w:type="dxa" w:w="80"/>
              <w:right w:type="dxa" w:w="120"/>
            </w:tcMar>
          </w:tcPr>
          <w:p>
            <w:pPr>
              <w:spacing w:after="0" w:line="260"/>
            </w:pPr>
            <w:r>
              <w:rPr>
                <w:b/>
                <w:bCs/>
                <w:color w:val="FFFFFF"/>
                <w:sz w:val="21"/>
                <w:szCs w:val="21"/>
              </w:rPr>
              <w:t xml:space="preserve">Step</w:t>
            </w:r>
          </w:p>
        </w:tc>
        <w:tc>
          <w:tcPr>
            <w:tcW w:type="dxa" w:w="3900"/>
            <w:shd w:fill="1F6FEB" w:val="clear"/>
            <w:tcMar>
              <w:top w:type="dxa" w:w="80"/>
              <w:left w:type="dxa" w:w="120"/>
              <w:bottom w:type="dxa" w:w="80"/>
              <w:right w:type="dxa" w:w="120"/>
            </w:tcMar>
          </w:tcPr>
          <w:p>
            <w:pPr>
              <w:spacing w:after="0" w:line="260"/>
            </w:pPr>
            <w:r>
              <w:rPr>
                <w:b/>
                <w:bCs/>
                <w:color w:val="FFFFFF"/>
                <w:sz w:val="21"/>
                <w:szCs w:val="21"/>
              </w:rPr>
              <w:t xml:space="preserve">User action</w:t>
            </w:r>
          </w:p>
        </w:tc>
        <w:tc>
          <w:tcPr>
            <w:tcW w:type="dxa" w:w="4000"/>
            <w:shd w:fill="1F6FEB" w:val="clear"/>
            <w:tcMar>
              <w:top w:type="dxa" w:w="80"/>
              <w:left w:type="dxa" w:w="120"/>
              <w:bottom w:type="dxa" w:w="80"/>
              <w:right w:type="dxa" w:w="120"/>
            </w:tcMar>
          </w:tcPr>
          <w:p>
            <w:pPr>
              <w:spacing w:after="0" w:line="260"/>
            </w:pPr>
            <w:r>
              <w:rPr>
                <w:b/>
                <w:bCs/>
                <w:color w:val="FFFFFF"/>
                <w:sz w:val="21"/>
                <w:szCs w:val="21"/>
              </w:rPr>
              <w:t xml:space="preserve">Map response</w:t>
            </w:r>
          </w:p>
        </w:tc>
      </w:tr>
      <w:tr>
        <w:tc>
          <w:tcPr>
            <w:tcW w:type="dxa" w:w="1400"/>
            <w:tcMar>
              <w:top w:type="dxa" w:w="80"/>
              <w:left w:type="dxa" w:w="120"/>
              <w:bottom w:type="dxa" w:w="80"/>
              <w:right w:type="dxa" w:w="120"/>
            </w:tcMar>
          </w:tcPr>
          <w:p>
            <w:pPr>
              <w:spacing w:after="0" w:line="260"/>
            </w:pPr>
            <w:r>
              <w:rPr>
                <w:b w:val="false"/>
                <w:bCs w:val="false"/>
                <w:sz w:val="21"/>
                <w:szCs w:val="21"/>
              </w:rPr>
              <w:t xml:space="preserve">1. Baseline</w:t>
            </w:r>
          </w:p>
        </w:tc>
        <w:tc>
          <w:tcPr>
            <w:tcW w:type="dxa" w:w="3900"/>
            <w:tcMar>
              <w:top w:type="dxa" w:w="80"/>
              <w:left w:type="dxa" w:w="120"/>
              <w:bottom w:type="dxa" w:w="80"/>
              <w:right w:type="dxa" w:w="120"/>
            </w:tcMar>
          </w:tcPr>
          <w:p>
            <w:pPr>
              <w:spacing w:after="0" w:line="260"/>
            </w:pPr>
            <w:r>
              <w:rPr>
                <w:b w:val="false"/>
                <w:bCs w:val="false"/>
                <w:sz w:val="21"/>
                <w:szCs w:val="21"/>
              </w:rPr>
              <w:t xml:space="preserve">Pick a single CDN as the starting point (pre-filled from Mode 2 if available).</w:t>
            </w:r>
          </w:p>
        </w:tc>
        <w:tc>
          <w:tcPr>
            <w:tcW w:type="dxa" w:w="4000"/>
            <w:tcMar>
              <w:top w:type="dxa" w:w="80"/>
              <w:left w:type="dxa" w:w="120"/>
              <w:bottom w:type="dxa" w:w="80"/>
              <w:right w:type="dxa" w:w="120"/>
            </w:tcMar>
          </w:tcPr>
          <w:p>
            <w:pPr>
              <w:spacing w:after="0" w:line="260"/>
            </w:pPr>
            <w:r>
              <w:rPr>
                <w:b w:val="false"/>
                <w:bCs w:val="false"/>
                <w:sz w:val="21"/>
                <w:szCs w:val="21"/>
              </w:rPr>
              <w:t xml:space="preserve">Map shows the single CDN in absolute-latency colors; scorecard shows its average latency and worst regions.</w:t>
            </w:r>
          </w:p>
        </w:tc>
      </w:tr>
      <w:tr>
        <w:tc>
          <w:tcPr>
            <w:tcW w:type="dxa" w:w="1400"/>
            <w:shd w:fill="EEF4FB" w:val="clear"/>
            <w:tcMar>
              <w:top w:type="dxa" w:w="80"/>
              <w:left w:type="dxa" w:w="120"/>
              <w:bottom w:type="dxa" w:w="80"/>
              <w:right w:type="dxa" w:w="120"/>
            </w:tcMar>
          </w:tcPr>
          <w:p>
            <w:pPr>
              <w:spacing w:after="0" w:line="260"/>
            </w:pPr>
            <w:r>
              <w:rPr>
                <w:b w:val="false"/>
                <w:bCs w:val="false"/>
                <w:sz w:val="21"/>
                <w:szCs w:val="21"/>
              </w:rPr>
              <w:t xml:space="preserve">2. Add CDNs</w:t>
            </w:r>
          </w:p>
        </w:tc>
        <w:tc>
          <w:tcPr>
            <w:tcW w:type="dxa" w:w="3900"/>
            <w:shd w:fill="EEF4FB" w:val="clear"/>
            <w:tcMar>
              <w:top w:type="dxa" w:w="80"/>
              <w:left w:type="dxa" w:w="120"/>
              <w:bottom w:type="dxa" w:w="80"/>
              <w:right w:type="dxa" w:w="120"/>
            </w:tcMar>
          </w:tcPr>
          <w:p>
            <w:pPr>
              <w:spacing w:after="0" w:line="260"/>
            </w:pPr>
            <w:r>
              <w:rPr>
                <w:b w:val="false"/>
                <w:bCs w:val="false"/>
                <w:sz w:val="21"/>
                <w:szCs w:val="21"/>
              </w:rPr>
              <w:t xml:space="preserve">Add one or more CDNs to the mix from a picker showing each candidate's “regions where it would take over” count.</w:t>
            </w:r>
          </w:p>
        </w:tc>
        <w:tc>
          <w:tcPr>
            <w:tcW w:type="dxa" w:w="4000"/>
            <w:shd w:fill="EEF4FB" w:val="clear"/>
            <w:tcMar>
              <w:top w:type="dxa" w:w="80"/>
              <w:left w:type="dxa" w:w="120"/>
              <w:bottom w:type="dxa" w:w="80"/>
              <w:right w:type="dxa" w:w="120"/>
            </w:tcMar>
          </w:tcPr>
          <w:p>
            <w:pPr>
              <w:spacing w:after="0" w:line="260"/>
            </w:pPr>
            <w:r>
              <w:rPr>
                <w:b w:val="false"/>
                <w:bCs w:val="false"/>
                <w:sz w:val="21"/>
                <w:szCs w:val="21"/>
              </w:rPr>
              <w:t xml:space="preserve">Map recolors: each region takes the color of whichever selected CDN is fastest there. The multicolor patchwork IS the Multi-CDN argument, made visual.</w:t>
            </w:r>
          </w:p>
        </w:tc>
      </w:tr>
      <w:tr>
        <w:tc>
          <w:tcPr>
            <w:tcW w:type="dxa" w:w="1400"/>
            <w:tcMar>
              <w:top w:type="dxa" w:w="80"/>
              <w:left w:type="dxa" w:w="120"/>
              <w:bottom w:type="dxa" w:w="80"/>
              <w:right w:type="dxa" w:w="120"/>
            </w:tcMar>
          </w:tcPr>
          <w:p>
            <w:pPr>
              <w:spacing w:after="0" w:line="260"/>
            </w:pPr>
            <w:r>
              <w:rPr>
                <w:b w:val="false"/>
                <w:bCs w:val="false"/>
                <w:sz w:val="21"/>
                <w:szCs w:val="21"/>
              </w:rPr>
              <w:t xml:space="preserve">3. Review</w:t>
            </w:r>
          </w:p>
        </w:tc>
        <w:tc>
          <w:tcPr>
            <w:tcW w:type="dxa" w:w="3900"/>
            <w:tcMar>
              <w:top w:type="dxa" w:w="80"/>
              <w:left w:type="dxa" w:w="120"/>
              <w:bottom w:type="dxa" w:w="80"/>
              <w:right w:type="dxa" w:w="120"/>
            </w:tcMar>
          </w:tcPr>
          <w:p>
            <w:pPr>
              <w:spacing w:after="0" w:line="260"/>
            </w:pPr>
            <w:r>
              <w:rPr>
                <w:b w:val="false"/>
                <w:bCs w:val="false"/>
                <w:sz w:val="21"/>
                <w:szCs w:val="21"/>
              </w:rPr>
              <w:t xml:space="preserve">See the combined scorecard and a before/after comparison bar.</w:t>
            </w:r>
          </w:p>
        </w:tc>
        <w:tc>
          <w:tcPr>
            <w:tcW w:type="dxa" w:w="4000"/>
            <w:tcMar>
              <w:top w:type="dxa" w:w="80"/>
              <w:left w:type="dxa" w:w="120"/>
              <w:bottom w:type="dxa" w:w="80"/>
              <w:right w:type="dxa" w:w="120"/>
            </w:tcMar>
          </w:tcPr>
          <w:p>
            <w:pPr>
              <w:spacing w:after="0" w:line="260"/>
            </w:pPr>
            <w:r>
              <w:rPr>
                <w:b w:val="false"/>
                <w:bCs w:val="false"/>
                <w:sz w:val="21"/>
                <w:szCs w:val="21"/>
              </w:rPr>
              <w:t xml:space="preserve">Summary: “Your 3-CDN mix is fastest-available in 41 of 44 countries; average latency improved 22% vs. Cloudflare alone.”</w:t>
            </w:r>
          </w:p>
        </w:tc>
      </w:tr>
    </w:tbl>
    <w:p>
      <w:pPr>
        <w:spacing w:after="120" w:line="276"/>
      </w:pPr>
      <w:r>
        <w:t xml:space="preserve">A marginal-gain indicator next to each candidate CDN (“+6 countries, −4 ms avg”) teaches diminishing returns honestly: after two or three well-chosen CDNs, additional vendors add little, and the UI says so. The closing panel offers two equal-weight exits: “Export this strategy” (a PDF/text summary of the chosen mix and its per-region assignments — a genuinely useful artifact for internal discussion) and “IO River can run this mix as one CDN → Learn about VCDN”, which is the sole product hand-off in the entire Hub and is styled as a link, not a banner.</w:t>
      </w:r>
    </w:p>
    <w:p>
      <w:pPr>
        <w:pStyle w:val="Heading1"/>
        <w:spacing w:after="160" w:before="360"/>
      </w:pPr>
      <w:r>
        <w:rPr>
          <w:color w:val="0B2545"/>
        </w:rPr>
        <w:t xml:space="preserve">5. Data &amp; Metric Behavior</w:t>
      </w:r>
    </w:p>
    <w:p>
      <w:pPr>
        <w:pStyle w:val="Heading2"/>
        <w:spacing w:after="120" w:before="280"/>
      </w:pPr>
      <w:r>
        <w:rPr>
          <w:color w:val="1F6FEB"/>
        </w:rPr>
        <w:t xml:space="preserve">5.1 Metrics</w:t>
      </w:r>
    </w:p>
    <w:p>
      <w:pPr>
        <w:spacing w:after="120" w:line="276"/>
      </w:pPr>
      <w:r>
        <w:t xml:space="preserve">Primary metric: median (p50) HTTP latency in milliseconds, measured from real-user or synthetic probes per region (per the methodology page). Every summary number is an absolute value in ms; percentages appear only as deltas alongside absolute values, never alone. The detail table exposes p50, p75, and p95 per CDN per region, plus sample count — publishing sample counts is part of the credibility posture. Small and large objects are always separate benchmark series and are never averaged together; the object-size toggle switches the entire page between the two series.</w:t>
      </w:r>
    </w:p>
    <w:p>
      <w:pPr>
        <w:pStyle w:val="Heading2"/>
        <w:spacing w:after="120" w:before="280"/>
      </w:pPr>
      <w:r>
        <w:rPr>
          <w:color w:val="1F6FEB"/>
        </w:rPr>
        <w:t xml:space="preserve">5.2 Ranking &amp; Tie Rules</w:t>
      </w:r>
    </w:p>
    <w:p>
      <w:pPr>
        <w:spacing w:after="120" w:line="276"/>
      </w:pPr>
      <w:r>
        <w:t xml:space="preserve">A CDN “wins” a region when its p50 is lowest and the margin over the runner-up exceeds the significance band (default 2 ms or 5%, whichever is larger). Within the band, the region is a statistical tie: on the Best-CDN map it takes the leader's color with a hatched overlay, and tooltips say “statistical tie with &lt;CDN&gt;”. Regions with insufficient samples render grey with an “insufficient data” note rather than an unreliable winner.</w:t>
      </w:r>
    </w:p>
    <w:p>
      <w:pPr>
        <w:pStyle w:val="Heading2"/>
        <w:spacing w:after="120" w:before="280"/>
      </w:pPr>
      <w:r>
        <w:rPr>
          <w:color w:val="1F6FEB"/>
        </w:rPr>
        <w:t xml:space="preserve">5.3 Freshness &amp; Honesty Signals</w:t>
      </w:r>
    </w:p>
    <w:p>
      <w:pPr>
        <w:spacing w:after="120" w:line="276"/>
      </w:pPr>
      <w:r>
        <w:t xml:space="preserve">Persistent footer stamp with last-update time and total measurement count for the current view. Methodology link on every screen. When a view's winner changed within the selected window, the timeline annotates the changeover — volatility is information, not noise, and it directly supports the “no universal best” message.</w:t>
      </w:r>
    </w:p>
    <w:p>
      <w:pPr>
        <w:pStyle w:val="Heading1"/>
        <w:spacing w:after="160" w:before="360"/>
      </w:pPr>
      <w:r>
        <w:rPr>
          <w:color w:val="0B2545"/>
        </w:rPr>
        <w:t xml:space="preserve">6. Component Inventory &amp; States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1F6FEB" w:val="clear"/>
            <w:tcMar>
              <w:top w:type="dxa" w:w="80"/>
              <w:left w:type="dxa" w:w="120"/>
              <w:bottom w:type="dxa" w:w="80"/>
              <w:right w:type="dxa" w:w="120"/>
            </w:tcMar>
          </w:tcPr>
          <w:p>
            <w:pPr>
              <w:spacing w:after="0" w:line="260"/>
            </w:pPr>
            <w:r>
              <w:rPr>
                <w:b/>
                <w:bCs/>
                <w:color w:val="FFFFFF"/>
                <w:sz w:val="21"/>
                <w:szCs w:val="21"/>
              </w:rPr>
              <w:t xml:space="preserve">Component</w:t>
            </w:r>
          </w:p>
        </w:tc>
        <w:tc>
          <w:tcPr>
            <w:tcW w:type="dxa" w:w="6700"/>
            <w:shd w:fill="1F6FEB" w:val="clear"/>
            <w:tcMar>
              <w:top w:type="dxa" w:w="80"/>
              <w:left w:type="dxa" w:w="120"/>
              <w:bottom w:type="dxa" w:w="80"/>
              <w:right w:type="dxa" w:w="120"/>
            </w:tcMar>
          </w:tcPr>
          <w:p>
            <w:pPr>
              <w:spacing w:after="0" w:line="260"/>
            </w:pPr>
            <w:r>
              <w:rPr>
                <w:b/>
                <w:bCs/>
                <w:color w:val="FFFFFF"/>
                <w:sz w:val="21"/>
                <w:szCs w:val="21"/>
              </w:rPr>
              <w:t xml:space="preserve">Specification</w:t>
            </w:r>
          </w:p>
        </w:tc>
      </w:tr>
      <w:tr>
        <w:tc>
          <w:tcPr>
            <w:tcW w:type="dxa" w:w="2600"/>
            <w:tcMar>
              <w:top w:type="dxa" w:w="80"/>
              <w:left w:type="dxa" w:w="120"/>
              <w:bottom w:type="dxa" w:w="80"/>
              <w:right w:type="dxa" w:w="120"/>
            </w:tcMar>
          </w:tcPr>
          <w:p>
            <w:pPr>
              <w:spacing w:after="0" w:line="260"/>
            </w:pPr>
            <w:r>
              <w:rPr>
                <w:b w:val="false"/>
                <w:bCs w:val="false"/>
                <w:sz w:val="21"/>
                <w:szCs w:val="21"/>
              </w:rPr>
              <w:t xml:space="preserve">Mode navigation</w:t>
            </w:r>
          </w:p>
        </w:tc>
        <w:tc>
          <w:tcPr>
            <w:tcW w:type="dxa" w:w="6700"/>
            <w:tcMar>
              <w:top w:type="dxa" w:w="80"/>
              <w:left w:type="dxa" w:w="120"/>
              <w:bottom w:type="dxa" w:w="80"/>
              <w:right w:type="dxa" w:w="120"/>
            </w:tcMar>
          </w:tcPr>
          <w:p>
            <w:pPr>
              <w:spacing w:after="0" w:line="260"/>
            </w:pPr>
            <w:r>
              <w:rPr>
                <w:b w:val="false"/>
                <w:bCs w:val="false"/>
                <w:sz w:val="21"/>
                <w:szCs w:val="21"/>
              </w:rPr>
              <w:t xml:space="preserve">Segmented control, 4 items, intent-phrased labels; active mode underlined in accent color; deep-linkable (each mode has a URL).</w:t>
            </w:r>
          </w:p>
        </w:tc>
      </w:tr>
      <w:tr>
        <w:tc>
          <w:tcPr>
            <w:tcW w:type="dxa" w:w="2600"/>
            <w:shd w:fill="EEF4FB" w:val="clear"/>
            <w:tcMar>
              <w:top w:type="dxa" w:w="80"/>
              <w:left w:type="dxa" w:w="120"/>
              <w:bottom w:type="dxa" w:w="80"/>
              <w:right w:type="dxa" w:w="120"/>
            </w:tcMar>
          </w:tcPr>
          <w:p>
            <w:pPr>
              <w:spacing w:after="0" w:line="260"/>
            </w:pPr>
            <w:r>
              <w:rPr>
                <w:b w:val="false"/>
                <w:bCs w:val="false"/>
                <w:sz w:val="21"/>
                <w:szCs w:val="21"/>
              </w:rPr>
              <w:t xml:space="preserve">Global control bar</w:t>
            </w:r>
          </w:p>
        </w:tc>
        <w:tc>
          <w:tcPr>
            <w:tcW w:type="dxa" w:w="6700"/>
            <w:shd w:fill="EEF4FB" w:val="clear"/>
            <w:tcMar>
              <w:top w:type="dxa" w:w="80"/>
              <w:left w:type="dxa" w:w="120"/>
              <w:bottom w:type="dxa" w:w="80"/>
              <w:right w:type="dxa" w:w="120"/>
            </w:tcMar>
          </w:tcPr>
          <w:p>
            <w:pPr>
              <w:spacing w:after="0" w:line="260"/>
            </w:pPr>
            <w:r>
              <w:rPr>
                <w:b w:val="false"/>
                <w:bCs w:val="false"/>
                <w:sz w:val="21"/>
                <w:szCs w:val="21"/>
              </w:rPr>
              <w:t xml:space="preserve">Region scope, timeline granularity + range, object-size toggle with explainer; persists across modes; every state is URL-encoded for shareability.</w:t>
            </w:r>
          </w:p>
        </w:tc>
      </w:tr>
      <w:tr>
        <w:tc>
          <w:tcPr>
            <w:tcW w:type="dxa" w:w="2600"/>
            <w:tcMar>
              <w:top w:type="dxa" w:w="80"/>
              <w:left w:type="dxa" w:w="120"/>
              <w:bottom w:type="dxa" w:w="80"/>
              <w:right w:type="dxa" w:w="120"/>
            </w:tcMar>
          </w:tcPr>
          <w:p>
            <w:pPr>
              <w:spacing w:after="0" w:line="260"/>
            </w:pPr>
            <w:r>
              <w:rPr>
                <w:b w:val="false"/>
                <w:bCs w:val="false"/>
                <w:sz w:val="21"/>
                <w:szCs w:val="21"/>
              </w:rPr>
              <w:t xml:space="preserve">Choropleth map</w:t>
            </w:r>
          </w:p>
        </w:tc>
        <w:tc>
          <w:tcPr>
            <w:tcW w:type="dxa" w:w="6700"/>
            <w:tcMar>
              <w:top w:type="dxa" w:w="80"/>
              <w:left w:type="dxa" w:w="120"/>
              <w:bottom w:type="dxa" w:w="80"/>
              <w:right w:type="dxa" w:w="120"/>
            </w:tcMar>
          </w:tcPr>
          <w:p>
            <w:pPr>
              <w:spacing w:after="0" w:line="260"/>
            </w:pPr>
            <w:r>
              <w:rPr>
                <w:b w:val="false"/>
                <w:bCs w:val="false"/>
                <w:sz w:val="21"/>
                <w:szCs w:val="21"/>
              </w:rPr>
              <w:t xml:space="preserve">Country level globally, state level for US scope; categorical (best-CDN) and sequential (absolute latency) color modes; hover tooltip, click-to-pin side panel; zoom/pan on desktop, tap-to-tooltip on mobile.</w:t>
            </w:r>
          </w:p>
        </w:tc>
      </w:tr>
      <w:tr>
        <w:tc>
          <w:tcPr>
            <w:tcW w:type="dxa" w:w="2600"/>
            <w:shd w:fill="EEF4FB" w:val="clear"/>
            <w:tcMar>
              <w:top w:type="dxa" w:w="80"/>
              <w:left w:type="dxa" w:w="120"/>
              <w:bottom w:type="dxa" w:w="80"/>
              <w:right w:type="dxa" w:w="120"/>
            </w:tcMar>
          </w:tcPr>
          <w:p>
            <w:pPr>
              <w:spacing w:after="0" w:line="260"/>
            </w:pPr>
            <w:r>
              <w:rPr>
                <w:b w:val="false"/>
                <w:bCs w:val="false"/>
                <w:sz w:val="21"/>
                <w:szCs w:val="21"/>
              </w:rPr>
              <w:t xml:space="preserve">Legend</w:t>
            </w:r>
          </w:p>
        </w:tc>
        <w:tc>
          <w:tcPr>
            <w:tcW w:type="dxa" w:w="6700"/>
            <w:shd w:fill="EEF4FB" w:val="clear"/>
            <w:tcMar>
              <w:top w:type="dxa" w:w="80"/>
              <w:left w:type="dxa" w:w="120"/>
              <w:bottom w:type="dxa" w:w="80"/>
              <w:right w:type="dxa" w:w="120"/>
            </w:tcMar>
          </w:tcPr>
          <w:p>
            <w:pPr>
              <w:spacing w:after="0" w:line="260"/>
            </w:pPr>
            <w:r>
              <w:rPr>
                <w:b w:val="false"/>
                <w:bCs w:val="false"/>
                <w:sz w:val="21"/>
                <w:szCs w:val="21"/>
              </w:rPr>
              <w:t xml:space="preserve">Winners-only list with region counts; click to isolate a CDN; “Others measured (N)” group; color assignments are stable per CDN across the whole product.</w:t>
            </w:r>
          </w:p>
        </w:tc>
      </w:tr>
      <w:tr>
        <w:tc>
          <w:tcPr>
            <w:tcW w:type="dxa" w:w="2600"/>
            <w:tcMar>
              <w:top w:type="dxa" w:w="80"/>
              <w:left w:type="dxa" w:w="120"/>
              <w:bottom w:type="dxa" w:w="80"/>
              <w:right w:type="dxa" w:w="120"/>
            </w:tcMar>
          </w:tcPr>
          <w:p>
            <w:pPr>
              <w:spacing w:after="0" w:line="260"/>
            </w:pPr>
            <w:r>
              <w:rPr>
                <w:b w:val="false"/>
                <w:bCs w:val="false"/>
                <w:sz w:val="21"/>
                <w:szCs w:val="21"/>
              </w:rPr>
              <w:t xml:space="preserve">Insight strip</w:t>
            </w:r>
          </w:p>
        </w:tc>
        <w:tc>
          <w:tcPr>
            <w:tcW w:type="dxa" w:w="6700"/>
            <w:tcMar>
              <w:top w:type="dxa" w:w="80"/>
              <w:left w:type="dxa" w:w="120"/>
              <w:bottom w:type="dxa" w:w="80"/>
              <w:right w:type="dxa" w:w="120"/>
            </w:tcMar>
          </w:tcPr>
          <w:p>
            <w:pPr>
              <w:spacing w:after="0" w:line="260"/>
            </w:pPr>
            <w:r>
              <w:rPr>
                <w:b w:val="false"/>
                <w:bCs w:val="false"/>
                <w:sz w:val="21"/>
                <w:szCs w:val="21"/>
              </w:rPr>
              <w:t xml:space="preserve">One auto-generated sentence from live data; regenerates on every filter change; max ~140 characters.</w:t>
            </w:r>
          </w:p>
        </w:tc>
      </w:tr>
      <w:tr>
        <w:tc>
          <w:tcPr>
            <w:tcW w:type="dxa" w:w="2600"/>
            <w:shd w:fill="EEF4FB" w:val="clear"/>
            <w:tcMar>
              <w:top w:type="dxa" w:w="80"/>
              <w:left w:type="dxa" w:w="120"/>
              <w:bottom w:type="dxa" w:w="80"/>
              <w:right w:type="dxa" w:w="120"/>
            </w:tcMar>
          </w:tcPr>
          <w:p>
            <w:pPr>
              <w:spacing w:after="0" w:line="260"/>
            </w:pPr>
            <w:r>
              <w:rPr>
                <w:b w:val="false"/>
                <w:bCs w:val="false"/>
                <w:sz w:val="21"/>
                <w:szCs w:val="21"/>
              </w:rPr>
              <w:t xml:space="preserve">Scorecard</w:t>
            </w:r>
          </w:p>
        </w:tc>
        <w:tc>
          <w:tcPr>
            <w:tcW w:type="dxa" w:w="6700"/>
            <w:shd w:fill="EEF4FB" w:val="clear"/>
            <w:tcMar>
              <w:top w:type="dxa" w:w="80"/>
              <w:left w:type="dxa" w:w="120"/>
              <w:bottom w:type="dxa" w:w="80"/>
              <w:right w:type="dxa" w:w="120"/>
            </w:tcMar>
          </w:tcPr>
          <w:p>
            <w:pPr>
              <w:spacing w:after="0" w:line="260"/>
            </w:pPr>
            <w:r>
              <w:rPr>
                <w:b w:val="false"/>
                <w:bCs w:val="false"/>
                <w:sz w:val="21"/>
                <w:szCs w:val="21"/>
              </w:rPr>
              <w:t xml:space="preserve">Mode-specific summary numbers (wins, average latency, gap to optimum); always absolute ms plus percent delta.</w:t>
            </w:r>
          </w:p>
        </w:tc>
      </w:tr>
      <w:tr>
        <w:tc>
          <w:tcPr>
            <w:tcW w:type="dxa" w:w="2600"/>
            <w:tcMar>
              <w:top w:type="dxa" w:w="80"/>
              <w:left w:type="dxa" w:w="120"/>
              <w:bottom w:type="dxa" w:w="80"/>
              <w:right w:type="dxa" w:w="120"/>
            </w:tcMar>
          </w:tcPr>
          <w:p>
            <w:pPr>
              <w:spacing w:after="0" w:line="260"/>
            </w:pPr>
            <w:r>
              <w:rPr>
                <w:b w:val="false"/>
                <w:bCs w:val="false"/>
                <w:sz w:val="21"/>
                <w:szCs w:val="21"/>
              </w:rPr>
              <w:t xml:space="preserve">Timeline chart</w:t>
            </w:r>
          </w:p>
        </w:tc>
        <w:tc>
          <w:tcPr>
            <w:tcW w:type="dxa" w:w="6700"/>
            <w:tcMar>
              <w:top w:type="dxa" w:w="80"/>
              <w:left w:type="dxa" w:w="120"/>
              <w:bottom w:type="dxa" w:w="80"/>
              <w:right w:type="dxa" w:w="120"/>
            </w:tcMar>
          </w:tcPr>
          <w:p>
            <w:pPr>
              <w:spacing w:after="0" w:line="260"/>
            </w:pPr>
            <w:r>
              <w:rPr>
                <w:b w:val="false"/>
                <w:bCs w:val="false"/>
                <w:sz w:val="21"/>
                <w:szCs w:val="21"/>
              </w:rPr>
              <w:t xml:space="preserve">Multi-series line chart, daily/weekly/monthly aggregation, p25–p75 band, winner-change annotations, range brush.</w:t>
            </w:r>
          </w:p>
        </w:tc>
      </w:tr>
      <w:tr>
        <w:tc>
          <w:tcPr>
            <w:tcW w:type="dxa" w:w="2600"/>
            <w:shd w:fill="EEF4FB" w:val="clear"/>
            <w:tcMar>
              <w:top w:type="dxa" w:w="80"/>
              <w:left w:type="dxa" w:w="120"/>
              <w:bottom w:type="dxa" w:w="80"/>
              <w:right w:type="dxa" w:w="120"/>
            </w:tcMar>
          </w:tcPr>
          <w:p>
            <w:pPr>
              <w:spacing w:after="0" w:line="260"/>
            </w:pPr>
            <w:r>
              <w:rPr>
                <w:b w:val="false"/>
                <w:bCs w:val="false"/>
                <w:sz w:val="21"/>
                <w:szCs w:val="21"/>
              </w:rPr>
              <w:t xml:space="preserve">Data table</w:t>
            </w:r>
          </w:p>
        </w:tc>
        <w:tc>
          <w:tcPr>
            <w:tcW w:type="dxa" w:w="6700"/>
            <w:shd w:fill="EEF4FB" w:val="clear"/>
            <w:tcMar>
              <w:top w:type="dxa" w:w="80"/>
              <w:left w:type="dxa" w:w="120"/>
              <w:bottom w:type="dxa" w:w="80"/>
              <w:right w:type="dxa" w:w="120"/>
            </w:tcMar>
          </w:tcPr>
          <w:p>
            <w:pPr>
              <w:spacing w:after="0" w:line="260"/>
            </w:pPr>
            <w:r>
              <w:rPr>
                <w:b w:val="false"/>
                <w:bCs w:val="false"/>
                <w:sz w:val="21"/>
                <w:szCs w:val="21"/>
              </w:rPr>
              <w:t xml:space="preserve">Per-region rows: p50/p75/p95 per CDN, sample count, winner badge; sortable; CSV export.</w:t>
            </w:r>
          </w:p>
        </w:tc>
      </w:tr>
      <w:tr>
        <w:tc>
          <w:tcPr>
            <w:tcW w:type="dxa" w:w="2600"/>
            <w:tcMar>
              <w:top w:type="dxa" w:w="80"/>
              <w:left w:type="dxa" w:w="120"/>
              <w:bottom w:type="dxa" w:w="80"/>
              <w:right w:type="dxa" w:w="120"/>
            </w:tcMar>
          </w:tcPr>
          <w:p>
            <w:pPr>
              <w:spacing w:after="0" w:line="260"/>
            </w:pPr>
            <w:r>
              <w:rPr>
                <w:b w:val="false"/>
                <w:bCs w:val="false"/>
                <w:sz w:val="21"/>
                <w:szCs w:val="21"/>
              </w:rPr>
              <w:t xml:space="preserve">CDN picker</w:t>
            </w:r>
          </w:p>
        </w:tc>
        <w:tc>
          <w:tcPr>
            <w:tcW w:type="dxa" w:w="6700"/>
            <w:tcMar>
              <w:top w:type="dxa" w:w="80"/>
              <w:left w:type="dxa" w:w="120"/>
              <w:bottom w:type="dxa" w:w="80"/>
              <w:right w:type="dxa" w:w="120"/>
            </w:tcMar>
          </w:tcPr>
          <w:p>
            <w:pPr>
              <w:spacing w:after="0" w:line="260"/>
            </w:pPr>
            <w:r>
              <w:rPr>
                <w:b w:val="false"/>
                <w:bCs w:val="false"/>
                <w:sz w:val="21"/>
                <w:szCs w:val="21"/>
              </w:rPr>
              <w:t xml:space="preserve">Searchable multi-select with stable color chips; used in Modes 2–4.</w:t>
            </w:r>
          </w:p>
        </w:tc>
      </w:tr>
      <w:tr>
        <w:tc>
          <w:tcPr>
            <w:tcW w:type="dxa" w:w="2600"/>
            <w:shd w:fill="EEF4FB" w:val="clear"/>
            <w:tcMar>
              <w:top w:type="dxa" w:w="80"/>
              <w:left w:type="dxa" w:w="120"/>
              <w:bottom w:type="dxa" w:w="80"/>
              <w:right w:type="dxa" w:w="120"/>
            </w:tcMar>
          </w:tcPr>
          <w:p>
            <w:pPr>
              <w:spacing w:after="0" w:line="260"/>
            </w:pPr>
            <w:r>
              <w:rPr>
                <w:b w:val="false"/>
                <w:bCs w:val="false"/>
                <w:sz w:val="21"/>
                <w:szCs w:val="21"/>
              </w:rPr>
              <w:t xml:space="preserve">Empty/loading/error</w:t>
            </w:r>
          </w:p>
        </w:tc>
        <w:tc>
          <w:tcPr>
            <w:tcW w:type="dxa" w:w="6700"/>
            <w:shd w:fill="EEF4FB" w:val="clear"/>
            <w:tcMar>
              <w:top w:type="dxa" w:w="80"/>
              <w:left w:type="dxa" w:w="120"/>
              <w:bottom w:type="dxa" w:w="80"/>
              <w:right w:type="dxa" w:w="120"/>
            </w:tcMar>
          </w:tcPr>
          <w:p>
            <w:pPr>
              <w:spacing w:after="0" w:line="260"/>
            </w:pPr>
            <w:r>
              <w:rPr>
                <w:b w:val="false"/>
                <w:bCs w:val="false"/>
                <w:sz w:val="21"/>
                <w:szCs w:val="21"/>
              </w:rPr>
              <w:t xml:space="preserve">Skeleton map on load; grey regions for missing data; clear retry state on fetch failure — never a blank map.</w:t>
            </w:r>
          </w:p>
        </w:tc>
      </w:tr>
    </w:tbl>
    <w:p>
      <w:pPr>
        <w:pStyle w:val="Heading2"/>
        <w:spacing w:after="120" w:before="280"/>
      </w:pPr>
      <w:r>
        <w:rPr>
          <w:color w:val="1F6FEB"/>
        </w:rPr>
        <w:t xml:space="preserve">6.1 Color System</w:t>
      </w:r>
    </w:p>
    <w:p>
      <w:pPr>
        <w:spacing w:after="120" w:line="276"/>
      </w:pPr>
      <w:r>
        <w:t xml:space="preserve">Each CDN owns one fixed categorical color across every mode, chosen from a colorblind-safe qualitative palette (12–13 distinguishable hues; the current tool already tracks 13 vendors). IO River VCDN uses the same palette family as everyone else — giving it a special metallic or branded color would undermine neutrality. The sequential latency scale reuses the tool's existing thresholds (30/60/120 ms) with user-adjustable bounds tucked into an “Advanced” popover for power users.</w:t>
      </w:r>
    </w:p>
    <w:p>
      <w:pPr>
        <w:pStyle w:val="Heading1"/>
        <w:spacing w:after="160" w:before="360"/>
      </w:pPr>
      <w:r>
        <w:rPr>
          <w:color w:val="0B2545"/>
        </w:rPr>
        <w:t xml:space="preserve">7. Responsive &amp; Accessibility</w:t>
      </w:r>
    </w:p>
    <w:p>
      <w:pPr>
        <w:spacing w:after="120" w:line="276"/>
      </w:pPr>
      <w:r>
        <w:t xml:space="preserve">Desktop is the primary evaluation surface, but the Hub must degrade gracefully: on mobile, the control bar collapses into a filter sheet, the map becomes tap-to-tooltip with a “view as list” alternative (ranked regions list replacing the choropleth), and the detail panel becomes an accordion. Accessibility requirements: every map view has a data-table equivalent (already part of the layout); color is never the only signal — winner badges and text labels accompany hues; tooltips are keyboard-reachable; the categorical palette passes deuteranopia/protanopia simulation; charts expose accessible summaries via aria-label built from the insight-strip text.</w:t>
      </w:r>
    </w:p>
    <w:p>
      <w:pPr>
        <w:pStyle w:val="Heading1"/>
        <w:spacing w:after="160" w:before="360"/>
      </w:pPr>
      <w:r>
        <w:rPr>
          <w:color w:val="0B2545"/>
        </w:rPr>
        <w:t xml:space="preserve">8. Voice &amp; Copy Guidelines</w:t>
      </w:r>
    </w:p>
    <w:p>
      <w:pPr>
        <w:spacing w:after="120" w:line="276"/>
      </w:pPr>
      <w:r>
        <w:t xml:space="preserve">All copy is descriptive, present-tense, and scoped: “fastest in this view”, “over the last 30 days”, “for large objects”. Banned patterns: superlatives without scope (“the fastest CDN”), fear framing (“you're losing customers”), and any evaluative adjective attached to a vendor name. The one recurring editorial line, appearing in the insight strip whenever data supports it, is the thesis: “No single CDN wins everywhere.” Product mentions of IO River are limited to the two designated hand-offs (Mode 3's methodology panel and Mode 4's closing link).</w:t>
      </w:r>
    </w:p>
    <w:p>
      <w:pPr>
        <w:pStyle w:val="Heading1"/>
        <w:spacing w:after="160" w:before="360"/>
      </w:pPr>
      <w:r>
        <w:rPr>
          <w:color w:val="0B2545"/>
        </w:rPr>
        <w:t xml:space="preserve">9. Analytics &amp; Iteration</w:t>
      </w:r>
    </w:p>
    <w:p>
      <w:pPr>
        <w:spacing w:after="120" w:line="276"/>
      </w:pPr>
      <w:r>
        <w:t xml:space="preserve">Instrument: mode switches, filter changes, region pins, “Match my traffic” completions, Mode 2 CDN selections (which reveal the visitor CDN landscape), Multi-CDN builder completions, exports, and the two product hand-off clicks. The key funnel to watch is landing → any filter interaction → mode 2/3/4 entry → export or hand-off. Because the Hub is journey-structured, each nav item's engagement directly measures demand for its journey, which should guide roadmap depth (e.g., if Compare My CDN dominates, invest in alerting: “notify me when my CDN drops out of the top 3 in a region I care about” — a natural, neutral retention loop).</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0B2545"/>
      <w:sz w:val="32"/>
      <w:szCs w:val="32"/>
    </w:rPr>
  </w:style>
  <w:style w:type="paragraph" w:styleId="Heading2">
    <w:name w:val="Heading 2"/>
    <w:basedOn w:val="Normal"/>
    <w:next w:val="Normal"/>
    <w:qFormat/>
    <w:pPr>
      <w:spacing w:after="120" w:before="280"/>
      <w:outlineLvl w:val="1"/>
    </w:pPr>
    <w:rPr>
      <w:b/>
      <w:bCs/>
      <w:color w:val="1F6FEB"/>
      <w:sz w:val="26"/>
      <w:szCs w:val="26"/>
    </w:rPr>
  </w:style>
  <w:style w:type="paragraph" w:styleId="Heading3">
    <w:name w:val="Heading 3"/>
    <w:basedOn w:val="Normal"/>
    <w:next w:val="Normal"/>
    <w:qFormat/>
    <w:pPr>
      <w:spacing w:after="100" w:before="200"/>
      <w:outlineLvl w:val="2"/>
    </w:pPr>
    <w:rPr>
      <w:b/>
      <w:bCs/>
      <w:color w:val="0B254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2026-07-20T05:21:57.736Z</dcterms:created>
  <dcterms:modified xsi:type="dcterms:W3CDTF">2026-07-20T05:21:57.737Z</dcterms:modified>
</cp:coreProperties>
</file>

<file path=docProps/custom.xml><?xml version="1.0" encoding="utf-8"?>
<Properties xmlns="http://schemas.openxmlformats.org/officeDocument/2006/custom-properties" xmlns:vt="http://schemas.openxmlformats.org/officeDocument/2006/docPropsVTypes"/>
</file>