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46B" w:rsidRDefault="0088746B" w:rsidP="0088746B">
      <w:pPr>
        <w:spacing w:before="120" w:after="120" w:line="276" w:lineRule="auto"/>
        <w:jc w:val="center"/>
        <w:outlineLvl w:val="2"/>
        <w:rPr>
          <w:rFonts w:ascii="Arial" w:eastAsia="Times New Roman" w:hAnsi="Arial" w:cs="Arial"/>
          <w:b/>
          <w:bCs/>
          <w:sz w:val="24"/>
          <w:szCs w:val="24"/>
        </w:rPr>
      </w:pPr>
      <w:r>
        <w:rPr>
          <w:rFonts w:ascii="Arial" w:eastAsia="Times New Roman" w:hAnsi="Arial" w:cs="Arial"/>
          <w:b/>
          <w:bCs/>
          <w:noProof/>
          <w:sz w:val="32"/>
          <w:szCs w:val="24"/>
        </w:rPr>
        <w:drawing>
          <wp:inline distT="0" distB="0" distL="0" distR="0" wp14:anchorId="6F18ADCD" wp14:editId="20D08B4F">
            <wp:extent cx="681355" cy="687070"/>
            <wp:effectExtent l="0" t="0" r="4445" b="0"/>
            <wp:docPr id="1" name="Picture 1" descr="C:\Users\WIN10\AppData\Local\Microsoft\Windows\INetCache\Content.Word\LISA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AppData\Local\Microsoft\Windows\INetCache\Content.Word\LISA LOGO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1355" cy="687070"/>
                    </a:xfrm>
                    <a:prstGeom prst="rect">
                      <a:avLst/>
                    </a:prstGeom>
                    <a:noFill/>
                    <a:ln>
                      <a:noFill/>
                    </a:ln>
                  </pic:spPr>
                </pic:pic>
              </a:graphicData>
            </a:graphic>
          </wp:inline>
        </w:drawing>
      </w:r>
    </w:p>
    <w:p w:rsidR="0088746B" w:rsidRPr="00BE50C1" w:rsidRDefault="0088746B" w:rsidP="0088746B">
      <w:pPr>
        <w:spacing w:after="0" w:line="276" w:lineRule="auto"/>
        <w:jc w:val="center"/>
        <w:outlineLvl w:val="2"/>
        <w:rPr>
          <w:rFonts w:ascii="Arial" w:eastAsia="Times New Roman" w:hAnsi="Arial" w:cs="Arial"/>
          <w:b/>
          <w:bCs/>
          <w:sz w:val="36"/>
          <w:szCs w:val="24"/>
        </w:rPr>
      </w:pPr>
      <w:r w:rsidRPr="00BE50C1">
        <w:rPr>
          <w:rFonts w:ascii="Arial" w:eastAsia="Times New Roman" w:hAnsi="Arial" w:cs="Arial"/>
          <w:b/>
          <w:bCs/>
          <w:sz w:val="36"/>
          <w:szCs w:val="24"/>
        </w:rPr>
        <w:t>LIS Academy</w:t>
      </w:r>
    </w:p>
    <w:p w:rsidR="0088746B" w:rsidRPr="0088746B" w:rsidRDefault="0088746B" w:rsidP="0088746B">
      <w:pPr>
        <w:spacing w:after="0" w:line="276" w:lineRule="auto"/>
        <w:jc w:val="center"/>
        <w:outlineLvl w:val="2"/>
        <w:rPr>
          <w:rFonts w:ascii="Arial" w:eastAsia="Times New Roman" w:hAnsi="Arial" w:cs="Arial"/>
          <w:b/>
          <w:bCs/>
          <w:sz w:val="24"/>
          <w:szCs w:val="24"/>
        </w:rPr>
      </w:pPr>
      <w:bookmarkStart w:id="0" w:name="_GoBack"/>
      <w:r w:rsidRPr="0088746B">
        <w:rPr>
          <w:rFonts w:ascii="Arial" w:eastAsia="Times New Roman" w:hAnsi="Arial" w:cs="Arial"/>
          <w:b/>
          <w:bCs/>
          <w:sz w:val="24"/>
          <w:szCs w:val="24"/>
        </w:rPr>
        <w:t>Accreditation and Ranking Consultancy Services</w:t>
      </w:r>
    </w:p>
    <w:bookmarkEnd w:id="0"/>
    <w:p w:rsidR="0088746B" w:rsidRPr="0088746B" w:rsidRDefault="0088746B" w:rsidP="0088746B">
      <w:pPr>
        <w:spacing w:before="120" w:after="120" w:line="276" w:lineRule="auto"/>
        <w:jc w:val="both"/>
        <w:rPr>
          <w:rFonts w:ascii="Arial" w:eastAsia="Times New Roman" w:hAnsi="Arial" w:cs="Arial"/>
          <w:sz w:val="24"/>
          <w:szCs w:val="24"/>
        </w:rPr>
      </w:pPr>
      <w:r w:rsidRPr="0088746B">
        <w:rPr>
          <w:rFonts w:ascii="Arial" w:eastAsia="Times New Roman" w:hAnsi="Arial" w:cs="Arial"/>
          <w:sz w:val="24"/>
          <w:szCs w:val="24"/>
        </w:rPr>
        <w:t>LIS Academy offers Accreditation and Ranking Consultancy Services to support educational institutions in achieving quality standards and improving institutional performance. The services focus on NBA, NAAC, NIRF, and other accreditation and ranking frameworks, particularly in the areas of library services, research visibility, digital infrastructure, documentation, and academic support systems. Through consultancy, training, audits, and implementation support, LIS Academy assists institutions in strengthening quality assurance and institutional excellence.</w:t>
      </w:r>
    </w:p>
    <w:p w:rsidR="0088746B" w:rsidRPr="0088746B" w:rsidRDefault="0088746B" w:rsidP="0088746B">
      <w:pPr>
        <w:spacing w:before="120" w:after="120" w:line="276" w:lineRule="auto"/>
        <w:jc w:val="both"/>
        <w:rPr>
          <w:rFonts w:ascii="Arial" w:eastAsia="Times New Roman" w:hAnsi="Arial" w:cs="Arial"/>
          <w:sz w:val="24"/>
          <w:szCs w:val="24"/>
        </w:rPr>
      </w:pPr>
      <w:r w:rsidRPr="0088746B">
        <w:rPr>
          <w:rFonts w:ascii="Arial" w:eastAsia="Times New Roman" w:hAnsi="Arial" w:cs="Arial"/>
          <w:sz w:val="24"/>
          <w:szCs w:val="24"/>
        </w:rPr>
        <w:t>Following are some of the major Accreditation and Ranking Consultancy Services offered by LIS Academy:</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NAAC Documentation &amp; Support Services</w:t>
      </w:r>
      <w:r w:rsidRPr="0088746B">
        <w:rPr>
          <w:rFonts w:ascii="Arial" w:eastAsia="Times New Roman" w:hAnsi="Arial" w:cs="Arial"/>
          <w:sz w:val="24"/>
          <w:szCs w:val="24"/>
        </w:rPr>
        <w:t xml:space="preserve"> – Assistance in preparing SSRs, qualitative and quantitative metrics, library documentation, and evidence management for NAAC accreditation.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NBA Readiness &amp; Quality Support</w:t>
      </w:r>
      <w:r w:rsidRPr="0088746B">
        <w:rPr>
          <w:rFonts w:ascii="Arial" w:eastAsia="Times New Roman" w:hAnsi="Arial" w:cs="Arial"/>
          <w:sz w:val="24"/>
          <w:szCs w:val="24"/>
        </w:rPr>
        <w:t xml:space="preserve"> – Consultancy for outcome-based education documentation, academic processes, and institutional quality compliance required for NBA accreditation.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NIRF Ranking Support Services</w:t>
      </w:r>
      <w:r w:rsidRPr="0088746B">
        <w:rPr>
          <w:rFonts w:ascii="Arial" w:eastAsia="Times New Roman" w:hAnsi="Arial" w:cs="Arial"/>
          <w:sz w:val="24"/>
          <w:szCs w:val="24"/>
        </w:rPr>
        <w:t xml:space="preserve"> – Guidance on improving institutional performance indicators related to research, library resources, outreach, perception, and academic productivity.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Library Accreditation Support</w:t>
      </w:r>
      <w:r w:rsidRPr="0088746B">
        <w:rPr>
          <w:rFonts w:ascii="Arial" w:eastAsia="Times New Roman" w:hAnsi="Arial" w:cs="Arial"/>
          <w:sz w:val="24"/>
          <w:szCs w:val="24"/>
        </w:rPr>
        <w:t xml:space="preserve"> – Specialized consultancy for strengthening library infrastructure, services, automation, digital resources, and best practices aligned with accreditation standards.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Research Visibility Enhancement Services</w:t>
      </w:r>
      <w:r w:rsidRPr="0088746B">
        <w:rPr>
          <w:rFonts w:ascii="Arial" w:eastAsia="Times New Roman" w:hAnsi="Arial" w:cs="Arial"/>
          <w:sz w:val="24"/>
          <w:szCs w:val="24"/>
        </w:rPr>
        <w:t xml:space="preserve"> – Support for improving institutional publications, citations, research profiles, and global scholarly visibility.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IRINS &amp; Research Profiling Support</w:t>
      </w:r>
      <w:r w:rsidRPr="0088746B">
        <w:rPr>
          <w:rFonts w:ascii="Arial" w:eastAsia="Times New Roman" w:hAnsi="Arial" w:cs="Arial"/>
          <w:sz w:val="24"/>
          <w:szCs w:val="24"/>
        </w:rPr>
        <w:t xml:space="preserve"> – Assistance in implementing and managing IRINS, Google Scholar, ORCID, Scopus, and other research profiling platforms.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Academic &amp; Administrative Audit Support</w:t>
      </w:r>
      <w:r w:rsidRPr="0088746B">
        <w:rPr>
          <w:rFonts w:ascii="Arial" w:eastAsia="Times New Roman" w:hAnsi="Arial" w:cs="Arial"/>
          <w:sz w:val="24"/>
          <w:szCs w:val="24"/>
        </w:rPr>
        <w:t xml:space="preserve"> – Consultancy for conducting internal academic audits, library audits, and documentation reviews to ensure quality compliance.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lastRenderedPageBreak/>
        <w:t>Data Collection &amp; Validation Services</w:t>
      </w:r>
      <w:r w:rsidRPr="0088746B">
        <w:rPr>
          <w:rFonts w:ascii="Arial" w:eastAsia="Times New Roman" w:hAnsi="Arial" w:cs="Arial"/>
          <w:sz w:val="24"/>
          <w:szCs w:val="24"/>
        </w:rPr>
        <w:t xml:space="preserve"> – Support in collecting, organizing, validating, and presenting institutional data required for accreditation and ranking submissions.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Institutional Repository &amp; Digital Archive Support</w:t>
      </w:r>
      <w:r w:rsidRPr="0088746B">
        <w:rPr>
          <w:rFonts w:ascii="Arial" w:eastAsia="Times New Roman" w:hAnsi="Arial" w:cs="Arial"/>
          <w:sz w:val="24"/>
          <w:szCs w:val="24"/>
        </w:rPr>
        <w:t xml:space="preserve"> – Development and management of repositories and digital archives to improve institutional knowledge management and visibility.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Library Automation &amp; Technology Readiness</w:t>
      </w:r>
      <w:r w:rsidRPr="0088746B">
        <w:rPr>
          <w:rFonts w:ascii="Arial" w:eastAsia="Times New Roman" w:hAnsi="Arial" w:cs="Arial"/>
          <w:sz w:val="24"/>
          <w:szCs w:val="24"/>
        </w:rPr>
        <w:t xml:space="preserve"> – Support for implementing KOHA, </w:t>
      </w:r>
      <w:proofErr w:type="spellStart"/>
      <w:r w:rsidRPr="0088746B">
        <w:rPr>
          <w:rFonts w:ascii="Arial" w:eastAsia="Times New Roman" w:hAnsi="Arial" w:cs="Arial"/>
          <w:sz w:val="24"/>
          <w:szCs w:val="24"/>
        </w:rPr>
        <w:t>DSpace</w:t>
      </w:r>
      <w:proofErr w:type="spellEnd"/>
      <w:r w:rsidRPr="0088746B">
        <w:rPr>
          <w:rFonts w:ascii="Arial" w:eastAsia="Times New Roman" w:hAnsi="Arial" w:cs="Arial"/>
          <w:sz w:val="24"/>
          <w:szCs w:val="24"/>
        </w:rPr>
        <w:t xml:space="preserve">, RFID, and other technologies to strengthen digital infrastructure and library services.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Best Practices Documentation</w:t>
      </w:r>
      <w:r w:rsidRPr="0088746B">
        <w:rPr>
          <w:rFonts w:ascii="Arial" w:eastAsia="Times New Roman" w:hAnsi="Arial" w:cs="Arial"/>
          <w:sz w:val="24"/>
          <w:szCs w:val="24"/>
        </w:rPr>
        <w:t xml:space="preserve"> – Assistance in identifying, documenting, and presenting institutional best practices, innovations, and success stories.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Faculty Research Performance Support</w:t>
      </w:r>
      <w:r w:rsidRPr="0088746B">
        <w:rPr>
          <w:rFonts w:ascii="Arial" w:eastAsia="Times New Roman" w:hAnsi="Arial" w:cs="Arial"/>
          <w:sz w:val="24"/>
          <w:szCs w:val="24"/>
        </w:rPr>
        <w:t xml:space="preserve"> – Guidance for improving faculty publications, citation impact, h-index, research collaborations, and scholarly productivity.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E-Resource &amp; Digital Library Support</w:t>
      </w:r>
      <w:r w:rsidRPr="0088746B">
        <w:rPr>
          <w:rFonts w:ascii="Arial" w:eastAsia="Times New Roman" w:hAnsi="Arial" w:cs="Arial"/>
          <w:sz w:val="24"/>
          <w:szCs w:val="24"/>
        </w:rPr>
        <w:t xml:space="preserve"> – Consultancy for strengthening access to e-resources, databases, digital libraries, and online academic services.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Training Programmes for Accreditation Readiness</w:t>
      </w:r>
      <w:r w:rsidRPr="0088746B">
        <w:rPr>
          <w:rFonts w:ascii="Arial" w:eastAsia="Times New Roman" w:hAnsi="Arial" w:cs="Arial"/>
          <w:sz w:val="24"/>
          <w:szCs w:val="24"/>
        </w:rPr>
        <w:t xml:space="preserve"> – Workshops, FDPs, and orientation programmes for faculty, librarians, IQAC teams, and administrators on accreditation requirements.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Quality Assurance &amp; IQAC Support</w:t>
      </w:r>
      <w:r w:rsidRPr="0088746B">
        <w:rPr>
          <w:rFonts w:ascii="Arial" w:eastAsia="Times New Roman" w:hAnsi="Arial" w:cs="Arial"/>
          <w:sz w:val="24"/>
          <w:szCs w:val="24"/>
        </w:rPr>
        <w:t xml:space="preserve"> – Assistance in strengthening Internal Quality Assurance Cell (IQAC) activities, reporting systems, and quality initiatives.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Institutional Website &amp; Information Management Support</w:t>
      </w:r>
      <w:r w:rsidRPr="0088746B">
        <w:rPr>
          <w:rFonts w:ascii="Arial" w:eastAsia="Times New Roman" w:hAnsi="Arial" w:cs="Arial"/>
          <w:sz w:val="24"/>
          <w:szCs w:val="24"/>
        </w:rPr>
        <w:t xml:space="preserve"> – Consultancy for improving institutional websites, data presentation, and digital information accessibility.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Benchmarking &amp; Performance Analysis</w:t>
      </w:r>
      <w:r w:rsidRPr="0088746B">
        <w:rPr>
          <w:rFonts w:ascii="Arial" w:eastAsia="Times New Roman" w:hAnsi="Arial" w:cs="Arial"/>
          <w:sz w:val="24"/>
          <w:szCs w:val="24"/>
        </w:rPr>
        <w:t xml:space="preserve"> – Comparative analysis of institutional performance indicators and strategic recommendations for improvement.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Policy Development &amp; Strategic Planning</w:t>
      </w:r>
      <w:r w:rsidRPr="0088746B">
        <w:rPr>
          <w:rFonts w:ascii="Arial" w:eastAsia="Times New Roman" w:hAnsi="Arial" w:cs="Arial"/>
          <w:sz w:val="24"/>
          <w:szCs w:val="24"/>
        </w:rPr>
        <w:t xml:space="preserve"> – Support in preparing institutional policies, strategic plans, and quality enhancement frameworks.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Mock Evaluation &amp; Pre-Assessment Audits</w:t>
      </w:r>
      <w:r w:rsidRPr="0088746B">
        <w:rPr>
          <w:rFonts w:ascii="Arial" w:eastAsia="Times New Roman" w:hAnsi="Arial" w:cs="Arial"/>
          <w:sz w:val="24"/>
          <w:szCs w:val="24"/>
        </w:rPr>
        <w:t xml:space="preserve"> – Conducting mock visits, readiness assessments, and gap analysis before accreditation and ranking evaluations. </w:t>
      </w:r>
    </w:p>
    <w:p w:rsidR="0088746B" w:rsidRPr="0088746B" w:rsidRDefault="0088746B" w:rsidP="0088746B">
      <w:pPr>
        <w:numPr>
          <w:ilvl w:val="0"/>
          <w:numId w:val="1"/>
        </w:numPr>
        <w:spacing w:before="120" w:after="120" w:line="276" w:lineRule="auto"/>
        <w:jc w:val="both"/>
        <w:rPr>
          <w:rFonts w:ascii="Arial" w:eastAsia="Times New Roman" w:hAnsi="Arial" w:cs="Arial"/>
          <w:sz w:val="24"/>
          <w:szCs w:val="24"/>
        </w:rPr>
      </w:pPr>
      <w:r w:rsidRPr="0088746B">
        <w:rPr>
          <w:rFonts w:ascii="Arial" w:eastAsia="Times New Roman" w:hAnsi="Arial" w:cs="Arial"/>
          <w:b/>
          <w:bCs/>
          <w:sz w:val="24"/>
          <w:szCs w:val="24"/>
        </w:rPr>
        <w:t>Customized Consultancy Services</w:t>
      </w:r>
      <w:r w:rsidRPr="0088746B">
        <w:rPr>
          <w:rFonts w:ascii="Arial" w:eastAsia="Times New Roman" w:hAnsi="Arial" w:cs="Arial"/>
          <w:sz w:val="24"/>
          <w:szCs w:val="24"/>
        </w:rPr>
        <w:t xml:space="preserve"> – Tailor-made accreditation and ranking support services based on the specific needs of universities, colleges, schools, and research institutions.</w:t>
      </w:r>
    </w:p>
    <w:p w:rsidR="00E67CA3" w:rsidRPr="0088746B" w:rsidRDefault="0088746B" w:rsidP="0088746B">
      <w:pPr>
        <w:spacing w:before="120" w:after="120" w:line="276" w:lineRule="auto"/>
        <w:jc w:val="both"/>
        <w:rPr>
          <w:rFonts w:ascii="Arial" w:hAnsi="Arial" w:cs="Arial"/>
          <w:sz w:val="24"/>
          <w:szCs w:val="24"/>
        </w:rPr>
      </w:pPr>
    </w:p>
    <w:sectPr w:rsidR="00E67CA3" w:rsidRPr="00887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3163D"/>
    <w:multiLevelType w:val="multilevel"/>
    <w:tmpl w:val="B52C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46B"/>
    <w:rsid w:val="0088746B"/>
    <w:rsid w:val="008B2131"/>
    <w:rsid w:val="00AF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72F62-2406-465C-A289-056280EF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74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74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746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8746B"/>
    <w:rPr>
      <w:color w:val="0000FF"/>
      <w:u w:val="single"/>
    </w:rPr>
  </w:style>
  <w:style w:type="character" w:styleId="Strong">
    <w:name w:val="Strong"/>
    <w:basedOn w:val="DefaultParagraphFont"/>
    <w:uiPriority w:val="22"/>
    <w:qFormat/>
    <w:rsid w:val="008874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18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2026-05-13T15:00:00Z</dcterms:created>
  <dcterms:modified xsi:type="dcterms:W3CDTF">2026-05-13T15:06:00Z</dcterms:modified>
</cp:coreProperties>
</file>