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EFD" w:rsidRDefault="00512EFD" w:rsidP="00512EFD">
      <w:pPr>
        <w:spacing w:before="120" w:after="120" w:line="276" w:lineRule="auto"/>
        <w:jc w:val="center"/>
        <w:outlineLvl w:val="2"/>
        <w:rPr>
          <w:rFonts w:ascii="Arial" w:eastAsia="Times New Roman" w:hAnsi="Arial" w:cs="Arial"/>
          <w:b/>
          <w:bCs/>
          <w:sz w:val="24"/>
          <w:szCs w:val="24"/>
        </w:rPr>
      </w:pPr>
      <w:r>
        <w:rPr>
          <w:rFonts w:ascii="Arial" w:eastAsia="Times New Roman" w:hAnsi="Arial" w:cs="Arial"/>
          <w:b/>
          <w:bCs/>
          <w:noProof/>
          <w:sz w:val="32"/>
          <w:szCs w:val="24"/>
        </w:rPr>
        <w:drawing>
          <wp:inline distT="0" distB="0" distL="0" distR="0" wp14:anchorId="11A932A1" wp14:editId="230808FB">
            <wp:extent cx="681355" cy="687070"/>
            <wp:effectExtent l="0" t="0" r="4445" b="0"/>
            <wp:docPr id="1" name="Picture 1" descr="C:\Users\WIN10\AppData\Local\Microsoft\Windows\INetCache\Content.Word\LISA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AppData\Local\Microsoft\Windows\INetCache\Content.Word\LISA LOGO1.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81355" cy="687070"/>
                    </a:xfrm>
                    <a:prstGeom prst="rect">
                      <a:avLst/>
                    </a:prstGeom>
                    <a:noFill/>
                    <a:ln>
                      <a:noFill/>
                    </a:ln>
                  </pic:spPr>
                </pic:pic>
              </a:graphicData>
            </a:graphic>
          </wp:inline>
        </w:drawing>
      </w:r>
    </w:p>
    <w:p w:rsidR="00512EFD" w:rsidRPr="00BE50C1" w:rsidRDefault="00512EFD" w:rsidP="00512EFD">
      <w:pPr>
        <w:spacing w:after="0" w:line="276" w:lineRule="auto"/>
        <w:jc w:val="center"/>
        <w:outlineLvl w:val="2"/>
        <w:rPr>
          <w:rFonts w:ascii="Arial" w:eastAsia="Times New Roman" w:hAnsi="Arial" w:cs="Arial"/>
          <w:b/>
          <w:bCs/>
          <w:sz w:val="32"/>
          <w:szCs w:val="24"/>
        </w:rPr>
      </w:pPr>
      <w:r w:rsidRPr="00BE50C1">
        <w:rPr>
          <w:rFonts w:ascii="Arial" w:eastAsia="Times New Roman" w:hAnsi="Arial" w:cs="Arial"/>
          <w:b/>
          <w:bCs/>
          <w:sz w:val="32"/>
          <w:szCs w:val="24"/>
        </w:rPr>
        <w:t>LIS Academy</w:t>
      </w:r>
    </w:p>
    <w:p w:rsidR="00512EFD" w:rsidRPr="00512EFD" w:rsidRDefault="00512EFD" w:rsidP="00512EFD">
      <w:pPr>
        <w:spacing w:before="120" w:after="120" w:line="276" w:lineRule="auto"/>
        <w:jc w:val="center"/>
        <w:outlineLvl w:val="1"/>
        <w:rPr>
          <w:rFonts w:ascii="Arial" w:eastAsia="Times New Roman" w:hAnsi="Arial" w:cs="Arial"/>
          <w:b/>
          <w:bCs/>
          <w:sz w:val="24"/>
          <w:szCs w:val="24"/>
        </w:rPr>
      </w:pPr>
      <w:bookmarkStart w:id="0" w:name="_GoBack"/>
      <w:r w:rsidRPr="00512EFD">
        <w:rPr>
          <w:rFonts w:ascii="Arial" w:eastAsia="Times New Roman" w:hAnsi="Arial" w:cs="Arial"/>
          <w:b/>
          <w:bCs/>
          <w:sz w:val="24"/>
          <w:szCs w:val="24"/>
        </w:rPr>
        <w:t>Products and Services</w:t>
      </w:r>
    </w:p>
    <w:bookmarkEnd w:id="0"/>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LIS Academy is a professional organization working towards the advancement of Library &amp; Information Science (LIS), research, education, and institutional development. The Academy offers a wide range of academic, technological, research, consultancy, and professional support services for students, librarians, teachers, researchers, educational institutions, and knowledge organizations.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The products and services of LIS Academy are designed to strengthen library systems, enhance research productivity, promote digital transformation, support accreditation and ranking initiatives, and build professional competencies through training, consultancy, and collaborative programmes.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Major Products and Services of LIS Academy</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 Library Technology Training Programmes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 xml:space="preserve">Hands-on training programmes on KOHA, </w:t>
      </w:r>
      <w:proofErr w:type="spellStart"/>
      <w:r w:rsidRPr="00512EFD">
        <w:rPr>
          <w:rFonts w:ascii="Arial" w:eastAsia="Times New Roman" w:hAnsi="Arial" w:cs="Arial"/>
          <w:sz w:val="24"/>
          <w:szCs w:val="24"/>
        </w:rPr>
        <w:t>DSpace</w:t>
      </w:r>
      <w:proofErr w:type="spellEnd"/>
      <w:r w:rsidRPr="00512EFD">
        <w:rPr>
          <w:rFonts w:ascii="Arial" w:eastAsia="Times New Roman" w:hAnsi="Arial" w:cs="Arial"/>
          <w:sz w:val="24"/>
          <w:szCs w:val="24"/>
        </w:rPr>
        <w:t xml:space="preserve">, </w:t>
      </w:r>
      <w:proofErr w:type="spellStart"/>
      <w:r w:rsidRPr="00512EFD">
        <w:rPr>
          <w:rFonts w:ascii="Arial" w:eastAsia="Times New Roman" w:hAnsi="Arial" w:cs="Arial"/>
          <w:sz w:val="24"/>
          <w:szCs w:val="24"/>
        </w:rPr>
        <w:t>EPrints</w:t>
      </w:r>
      <w:proofErr w:type="spellEnd"/>
      <w:r w:rsidRPr="00512EFD">
        <w:rPr>
          <w:rFonts w:ascii="Arial" w:eastAsia="Times New Roman" w:hAnsi="Arial" w:cs="Arial"/>
          <w:sz w:val="24"/>
          <w:szCs w:val="24"/>
        </w:rPr>
        <w:t>, RFID, digital libraries, metadata standards, institutional repositories, and emerging library technologies. The programmes focus on automation, digital transformation, and ICT skill development for LIS professionals.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2. Research Productivity Support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Workshops, seminars, and consultancy services aimed at improving research quality, publication output, citation impact, academic visibility, and institutional research performance. Includes training on research tools, databases, plagiarism detection, and scholarly communication.</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3. Institutional Technology Support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 xml:space="preserve">Implementation and technical support for KOHA, </w:t>
      </w:r>
      <w:proofErr w:type="spellStart"/>
      <w:r w:rsidRPr="00512EFD">
        <w:rPr>
          <w:rFonts w:ascii="Arial" w:eastAsia="Times New Roman" w:hAnsi="Arial" w:cs="Arial"/>
          <w:sz w:val="24"/>
          <w:szCs w:val="24"/>
        </w:rPr>
        <w:t>DSpace</w:t>
      </w:r>
      <w:proofErr w:type="spellEnd"/>
      <w:r w:rsidRPr="00512EFD">
        <w:rPr>
          <w:rFonts w:ascii="Arial" w:eastAsia="Times New Roman" w:hAnsi="Arial" w:cs="Arial"/>
          <w:sz w:val="24"/>
          <w:szCs w:val="24"/>
        </w:rPr>
        <w:t xml:space="preserve">, </w:t>
      </w:r>
      <w:proofErr w:type="spellStart"/>
      <w:r w:rsidRPr="00512EFD">
        <w:rPr>
          <w:rFonts w:ascii="Arial" w:eastAsia="Times New Roman" w:hAnsi="Arial" w:cs="Arial"/>
          <w:sz w:val="24"/>
          <w:szCs w:val="24"/>
        </w:rPr>
        <w:t>EPrints</w:t>
      </w:r>
      <w:proofErr w:type="spellEnd"/>
      <w:r w:rsidRPr="00512EFD">
        <w:rPr>
          <w:rFonts w:ascii="Arial" w:eastAsia="Times New Roman" w:hAnsi="Arial" w:cs="Arial"/>
          <w:sz w:val="24"/>
          <w:szCs w:val="24"/>
        </w:rPr>
        <w:t>, IRINS, digital repositories, library websites, and research information management systems. The services help institutions strengthen digital infrastructure and knowledge management systems.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4. Accreditation and Ranking Consultancy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 xml:space="preserve">Consultancy support for NAAC, NBA, NIRF, and institutional quality assurance initiatives. Services include documentation support, research visibility enhancement, library </w:t>
      </w:r>
      <w:r w:rsidRPr="00512EFD">
        <w:rPr>
          <w:rFonts w:ascii="Arial" w:eastAsia="Times New Roman" w:hAnsi="Arial" w:cs="Arial"/>
          <w:sz w:val="24"/>
          <w:szCs w:val="24"/>
        </w:rPr>
        <w:lastRenderedPageBreak/>
        <w:t>readiness, data management, and strategic planning for accreditation and ranking improvement.</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5. Library Automation &amp; Digital Library Solutions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End-to-end support for automating libraries, developing digital repositories, implementing RFID systems, and managing e-resources and online library services using open-source technologies.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6. Faculty Development Programmes (FDPs)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Professional development programmes for teachers, librarians, researchers, and academic administrators on emerging technologies, research methodologies, digital tools, and academic best practices.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7. LIS Finishing School Programmes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Career-oriented training programmes for LIS students and young professionals focusing on employability skills, communication, interview preparation, ICT competencies, and professional readiness.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8. Consultancy Services for Educational Institutions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 xml:space="preserve">Customized consultancy services for schools, colleges, universities, and research </w:t>
      </w:r>
      <w:proofErr w:type="spellStart"/>
      <w:r w:rsidRPr="00512EFD">
        <w:rPr>
          <w:rFonts w:ascii="Arial" w:eastAsia="Times New Roman" w:hAnsi="Arial" w:cs="Arial"/>
          <w:sz w:val="24"/>
          <w:szCs w:val="24"/>
        </w:rPr>
        <w:t>centres</w:t>
      </w:r>
      <w:proofErr w:type="spellEnd"/>
      <w:r w:rsidRPr="00512EFD">
        <w:rPr>
          <w:rFonts w:ascii="Arial" w:eastAsia="Times New Roman" w:hAnsi="Arial" w:cs="Arial"/>
          <w:sz w:val="24"/>
          <w:szCs w:val="24"/>
        </w:rPr>
        <w:t xml:space="preserve"> in areas such as library development, digital transformation, academic planning, and institutional capacity building.</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9. Digital Knowledge Management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Support for institutional repositories, digital archives, content management systems, research databases, and knowledge organization tools for efficient information management.</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10. Research Profiling &amp; Academic Visibility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 xml:space="preserve">Support for creating and managing ORCID, Google Scholar, Scopus, </w:t>
      </w:r>
      <w:proofErr w:type="spellStart"/>
      <w:r w:rsidRPr="00512EFD">
        <w:rPr>
          <w:rFonts w:ascii="Arial" w:eastAsia="Times New Roman" w:hAnsi="Arial" w:cs="Arial"/>
          <w:sz w:val="24"/>
          <w:szCs w:val="24"/>
        </w:rPr>
        <w:t>Vidwan</w:t>
      </w:r>
      <w:proofErr w:type="spellEnd"/>
      <w:r w:rsidRPr="00512EFD">
        <w:rPr>
          <w:rFonts w:ascii="Arial" w:eastAsia="Times New Roman" w:hAnsi="Arial" w:cs="Arial"/>
          <w:sz w:val="24"/>
          <w:szCs w:val="24"/>
        </w:rPr>
        <w:t xml:space="preserve">, and </w:t>
      </w:r>
      <w:proofErr w:type="spellStart"/>
      <w:r w:rsidRPr="00512EFD">
        <w:rPr>
          <w:rFonts w:ascii="Arial" w:eastAsia="Times New Roman" w:hAnsi="Arial" w:cs="Arial"/>
          <w:sz w:val="24"/>
          <w:szCs w:val="24"/>
        </w:rPr>
        <w:t>ResearchGate</w:t>
      </w:r>
      <w:proofErr w:type="spellEnd"/>
      <w:r w:rsidRPr="00512EFD">
        <w:rPr>
          <w:rFonts w:ascii="Arial" w:eastAsia="Times New Roman" w:hAnsi="Arial" w:cs="Arial"/>
          <w:sz w:val="24"/>
          <w:szCs w:val="24"/>
        </w:rPr>
        <w:t xml:space="preserve"> profiles to improve institutional and individual research visibility.</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11. Publication &amp; Scholarly Communication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Publishing support for journals, conference proceedings, newsletters, edited books, and scholarly communication initiatives. Guidance on academic publishing standards and open-access practices is also provided.</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12. Open Journal Systems (OJS) &amp; Open Conference Systems (OCS) Support</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Technical implementation and management support for online journal publishing systems and digital conference management platforms.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13. Workshops, Seminars &amp; Conferences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lastRenderedPageBreak/>
        <w:t>Organization of national and international conferences, seminars, webinars, workshops, conclaves, and symposiums on contemporary LIS, research, and educational themes.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14. Centre for Research Excellence (CRE)</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A dedicated research wing promoting interdisciplinary research, innovation, collaborative projects, publication support, and research capacity building in LIS and allied disciplines.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15. E-Resource &amp; Database Management Support</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Training and consultancy on subscription management, access systems, remote authentication, usage analysis, and effective utilization of electronic resources and academic databases.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16. Digital Preservation &amp; Archiving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Support for preserving institutional records, rare collections, manuscripts, and digital scholarly content through modern preservation technologies and archival practices.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17. Academic Writing &amp; Research Methodology Training</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Programmes focusing on academic writing, thesis preparation, proposal writing, literature review, citation management, and research design methodologies.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 xml:space="preserve">18. </w:t>
      </w:r>
      <w:proofErr w:type="spellStart"/>
      <w:r w:rsidRPr="00512EFD">
        <w:rPr>
          <w:rFonts w:ascii="Arial" w:eastAsia="Times New Roman" w:hAnsi="Arial" w:cs="Arial"/>
          <w:b/>
          <w:bCs/>
          <w:sz w:val="24"/>
          <w:szCs w:val="24"/>
        </w:rPr>
        <w:t>Bibliometric</w:t>
      </w:r>
      <w:proofErr w:type="spellEnd"/>
      <w:r w:rsidRPr="00512EFD">
        <w:rPr>
          <w:rFonts w:ascii="Arial" w:eastAsia="Times New Roman" w:hAnsi="Arial" w:cs="Arial"/>
          <w:b/>
          <w:bCs/>
          <w:sz w:val="24"/>
          <w:szCs w:val="24"/>
        </w:rPr>
        <w:t xml:space="preserve"> &amp; </w:t>
      </w:r>
      <w:proofErr w:type="spellStart"/>
      <w:r w:rsidRPr="00512EFD">
        <w:rPr>
          <w:rFonts w:ascii="Arial" w:eastAsia="Times New Roman" w:hAnsi="Arial" w:cs="Arial"/>
          <w:b/>
          <w:bCs/>
          <w:sz w:val="24"/>
          <w:szCs w:val="24"/>
        </w:rPr>
        <w:t>Scientometric</w:t>
      </w:r>
      <w:proofErr w:type="spellEnd"/>
      <w:r w:rsidRPr="00512EFD">
        <w:rPr>
          <w:rFonts w:ascii="Arial" w:eastAsia="Times New Roman" w:hAnsi="Arial" w:cs="Arial"/>
          <w:b/>
          <w:bCs/>
          <w:sz w:val="24"/>
          <w:szCs w:val="24"/>
        </w:rPr>
        <w:t xml:space="preserve"> Analysis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 xml:space="preserve">Research analytics services including citation analysis, publication mapping, collaboration studies, and institutional productivity assessment using </w:t>
      </w:r>
      <w:proofErr w:type="spellStart"/>
      <w:r w:rsidRPr="00512EFD">
        <w:rPr>
          <w:rFonts w:ascii="Arial" w:eastAsia="Times New Roman" w:hAnsi="Arial" w:cs="Arial"/>
          <w:sz w:val="24"/>
          <w:szCs w:val="24"/>
        </w:rPr>
        <w:t>bibliometric</w:t>
      </w:r>
      <w:proofErr w:type="spellEnd"/>
      <w:r w:rsidRPr="00512EFD">
        <w:rPr>
          <w:rFonts w:ascii="Arial" w:eastAsia="Times New Roman" w:hAnsi="Arial" w:cs="Arial"/>
          <w:sz w:val="24"/>
          <w:szCs w:val="24"/>
        </w:rPr>
        <w:t xml:space="preserve"> tools.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19. Institutional Repository &amp; Open Access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Development and management of institutional repositories to support open access, scholarly communication, and global dissemination of research outputs.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20. ICT &amp; Emerging Technology Programmes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 xml:space="preserve">Training on Artificial Intelligence, data analytics, Web technologies, cloud computing, </w:t>
      </w:r>
      <w:proofErr w:type="spellStart"/>
      <w:r w:rsidRPr="00512EFD">
        <w:rPr>
          <w:rFonts w:ascii="Arial" w:eastAsia="Times New Roman" w:hAnsi="Arial" w:cs="Arial"/>
          <w:sz w:val="24"/>
          <w:szCs w:val="24"/>
        </w:rPr>
        <w:t>IoT</w:t>
      </w:r>
      <w:proofErr w:type="spellEnd"/>
      <w:r w:rsidRPr="00512EFD">
        <w:rPr>
          <w:rFonts w:ascii="Arial" w:eastAsia="Times New Roman" w:hAnsi="Arial" w:cs="Arial"/>
          <w:sz w:val="24"/>
          <w:szCs w:val="24"/>
        </w:rPr>
        <w:t>, digital tools, and other emerging technologies relevant to libraries and education sectors.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21. Community Networking &amp; Professional Collaboration</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Professional networking initiatives, collaborative projects, academic partnerships, and platforms for interaction among LIS professionals, institutions, and researchers.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22. Skill Development &amp; Capacity Building Programmes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Short-term and long-term programmes aimed at strengthening professional competencies, leadership skills, technology adoption, and institutional excellence.</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23. Customized Institutional Support Services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Tailor-made services designed according to the specific academic, technological, research, and administrative requirements of educational and research institutions.</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lastRenderedPageBreak/>
        <w:t>24. Webinar &amp; Online Learning Platforms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Regular online training programmes, webinars, virtual workshops, and digital learning initiatives for continuous professional development and wider outreach.</w:t>
      </w:r>
    </w:p>
    <w:p w:rsidR="00512EFD" w:rsidRPr="00512EFD" w:rsidRDefault="00512EFD" w:rsidP="00512EFD">
      <w:pPr>
        <w:spacing w:before="120" w:after="120" w:line="276" w:lineRule="auto"/>
        <w:jc w:val="both"/>
        <w:outlineLvl w:val="2"/>
        <w:rPr>
          <w:rFonts w:ascii="Arial" w:eastAsia="Times New Roman" w:hAnsi="Arial" w:cs="Arial"/>
          <w:b/>
          <w:bCs/>
          <w:sz w:val="24"/>
          <w:szCs w:val="24"/>
        </w:rPr>
      </w:pPr>
      <w:r w:rsidRPr="00512EFD">
        <w:rPr>
          <w:rFonts w:ascii="Arial" w:eastAsia="Times New Roman" w:hAnsi="Arial" w:cs="Arial"/>
          <w:b/>
          <w:bCs/>
          <w:sz w:val="24"/>
          <w:szCs w:val="24"/>
        </w:rPr>
        <w:t>25. CSR, Outreach &amp; Social Development Initiatives</w:t>
      </w:r>
    </w:p>
    <w:p w:rsidR="00512EFD" w:rsidRPr="00512EFD" w:rsidRDefault="00512EFD" w:rsidP="00512EFD">
      <w:pPr>
        <w:spacing w:before="120" w:after="120" w:line="276" w:lineRule="auto"/>
        <w:jc w:val="both"/>
        <w:rPr>
          <w:rFonts w:ascii="Arial" w:eastAsia="Times New Roman" w:hAnsi="Arial" w:cs="Arial"/>
          <w:sz w:val="24"/>
          <w:szCs w:val="24"/>
        </w:rPr>
      </w:pPr>
      <w:r w:rsidRPr="00512EFD">
        <w:rPr>
          <w:rFonts w:ascii="Arial" w:eastAsia="Times New Roman" w:hAnsi="Arial" w:cs="Arial"/>
          <w:sz w:val="24"/>
          <w:szCs w:val="24"/>
        </w:rPr>
        <w:t>Educational outreach, literacy promotion, capacity-building activities, and socially relevant programmes undertaken through collaborative and CSR-supported initiatives.</w:t>
      </w:r>
    </w:p>
    <w:p w:rsidR="00E67CA3" w:rsidRPr="00512EFD" w:rsidRDefault="00512EFD" w:rsidP="00512EFD">
      <w:pPr>
        <w:spacing w:before="120" w:after="120" w:line="276" w:lineRule="auto"/>
        <w:jc w:val="both"/>
        <w:rPr>
          <w:rFonts w:ascii="Arial" w:hAnsi="Arial" w:cs="Arial"/>
          <w:sz w:val="24"/>
          <w:szCs w:val="24"/>
        </w:rPr>
      </w:pPr>
    </w:p>
    <w:sectPr w:rsidR="00E67CA3" w:rsidRPr="00512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EFD"/>
    <w:rsid w:val="00512EFD"/>
    <w:rsid w:val="008B2131"/>
    <w:rsid w:val="00AF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909F2A-E64F-4604-B407-12F60228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12E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2E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2E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2EFD"/>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12EFD"/>
    <w:rPr>
      <w:color w:val="0000FF"/>
      <w:u w:val="single"/>
    </w:rPr>
  </w:style>
  <w:style w:type="paragraph" w:styleId="NormalWeb">
    <w:name w:val="Normal (Web)"/>
    <w:basedOn w:val="Normal"/>
    <w:uiPriority w:val="99"/>
    <w:semiHidden/>
    <w:unhideWhenUsed/>
    <w:rsid w:val="00512E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98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2026-05-13T15:14:00Z</dcterms:created>
  <dcterms:modified xsi:type="dcterms:W3CDTF">2026-05-13T15:18:00Z</dcterms:modified>
</cp:coreProperties>
</file>