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4259B" w14:textId="77777777" w:rsidR="00373303" w:rsidRPr="00373303" w:rsidRDefault="00373303" w:rsidP="00373303">
      <w:pPr>
        <w:pStyle w:val="Title"/>
        <w:pBdr>
          <w:bottom w:val="none" w:sz="0" w:space="0" w:color="auto"/>
        </w:pBdr>
        <w:ind w:right="-1558"/>
        <w:rPr>
          <w:lang w:eastAsia="en-GB"/>
        </w:rPr>
      </w:pPr>
      <w:r>
        <w:rPr>
          <w:rFonts w:eastAsia="Times New Roman"/>
          <w:sz w:val="96"/>
          <w:lang w:eastAsia="en-GB"/>
        </w:rPr>
        <w:t xml:space="preserve">                                     </w:t>
      </w:r>
      <w:r w:rsidRPr="00373303">
        <w:rPr>
          <w:rFonts w:eastAsia="Times New Roman"/>
          <w:sz w:val="96"/>
          <w:lang w:eastAsia="en-GB"/>
        </w:rPr>
        <w:t>T</w:t>
      </w:r>
      <w:r w:rsidRPr="00F06EF1">
        <w:rPr>
          <w:rFonts w:eastAsia="Times New Roman"/>
          <w:lang w:eastAsia="en-GB"/>
        </w:rPr>
        <w:t xml:space="preserve">ravelling </w:t>
      </w:r>
      <w:r w:rsidRPr="005B3F2E">
        <w:rPr>
          <w:rFonts w:eastAsia="Times New Roman"/>
          <w:color w:val="E36C0A" w:themeColor="accent6" w:themeShade="BF"/>
          <w:sz w:val="22"/>
          <w:lang w:eastAsia="en-GB"/>
        </w:rPr>
        <w:t xml:space="preserve">in </w:t>
      </w:r>
      <w:r w:rsidRPr="00373303">
        <w:rPr>
          <w:rFonts w:eastAsia="Times New Roman"/>
          <w:color w:val="0F243E" w:themeColor="text2" w:themeShade="80"/>
          <w:sz w:val="22"/>
          <w:lang w:eastAsia="en-GB"/>
        </w:rPr>
        <w:t>India.</w:t>
      </w:r>
    </w:p>
    <w:p w14:paraId="3F3371E4" w14:textId="77777777" w:rsidR="00201B8B" w:rsidRDefault="00373303" w:rsidP="00373303">
      <w:pPr>
        <w:ind w:left="-270"/>
      </w:pPr>
      <w:r>
        <w:rPr>
          <w:noProof/>
          <w:lang w:bidi="ar-SA"/>
        </w:rPr>
        <w:drawing>
          <wp:inline distT="0" distB="0" distL="0" distR="0" wp14:anchorId="509D5D07" wp14:editId="4006A352">
            <wp:extent cx="8298522" cy="3571875"/>
            <wp:effectExtent l="19050" t="0" r="7278" b="0"/>
            <wp:docPr id="1" name="Picture 1" descr="C:\Users\Preeti wagh\Downloads\adventure-alps-clouds-206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eti wagh\Downloads\adventure-alps-clouds-206353.jpg"/>
                    <pic:cNvPicPr>
                      <a:picLocks noChangeAspect="1" noChangeArrowheads="1"/>
                    </pic:cNvPicPr>
                  </pic:nvPicPr>
                  <pic:blipFill>
                    <a:blip r:embed="rId5"/>
                    <a:srcRect/>
                    <a:stretch>
                      <a:fillRect/>
                    </a:stretch>
                  </pic:blipFill>
                  <pic:spPr bwMode="auto">
                    <a:xfrm>
                      <a:off x="0" y="0"/>
                      <a:ext cx="8298522" cy="3571875"/>
                    </a:xfrm>
                    <a:prstGeom prst="rect">
                      <a:avLst/>
                    </a:prstGeom>
                    <a:noFill/>
                    <a:ln w="9525">
                      <a:noFill/>
                      <a:miter lim="800000"/>
                      <a:headEnd/>
                      <a:tailEnd/>
                    </a:ln>
                  </pic:spPr>
                </pic:pic>
              </a:graphicData>
            </a:graphic>
          </wp:inline>
        </w:drawing>
      </w:r>
    </w:p>
    <w:p w14:paraId="33A515B7" w14:textId="77777777" w:rsidR="006D6644" w:rsidRPr="006D6644" w:rsidRDefault="00373303" w:rsidP="006D6644">
      <w:pPr>
        <w:pStyle w:val="Heading1"/>
        <w:spacing w:line="264" w:lineRule="auto"/>
        <w:ind w:left="446" w:right="-994"/>
        <w:jc w:val="both"/>
        <w:rPr>
          <w:b w:val="0"/>
          <w:color w:val="0D0D0D" w:themeColor="text1" w:themeTint="F2"/>
          <w:lang w:eastAsia="en-GB"/>
        </w:rPr>
      </w:pPr>
      <w:r w:rsidRPr="00512DF7">
        <w:rPr>
          <w:rStyle w:val="Emphasis"/>
          <w:i w:val="0"/>
          <w:color w:val="E36C0A" w:themeColor="accent6" w:themeShade="BF"/>
          <w:sz w:val="72"/>
        </w:rPr>
        <w:t>I</w:t>
      </w:r>
      <w:r w:rsidRPr="006D6644">
        <w:rPr>
          <w:rStyle w:val="Emphasis"/>
          <w:b w:val="0"/>
          <w:i w:val="0"/>
          <w:color w:val="0D0D0D" w:themeColor="text1" w:themeTint="F2"/>
        </w:rPr>
        <w:t>NDIA</w:t>
      </w:r>
      <w:r w:rsidRPr="006D6644">
        <w:rPr>
          <w:rStyle w:val="Emphasis"/>
          <w:b w:val="0"/>
          <w:color w:val="0D0D0D" w:themeColor="text1" w:themeTint="F2"/>
        </w:rPr>
        <w:t xml:space="preserve"> is a country where travellers fantasize about – tropical, oriental, ancient India.  It is also modern, chaotic India. </w:t>
      </w:r>
      <w:r w:rsidRPr="006D6644">
        <w:rPr>
          <w:b w:val="0"/>
          <w:color w:val="404040" w:themeColor="text1" w:themeTint="BF"/>
          <w:lang w:eastAsia="en-GB"/>
        </w:rPr>
        <w:t>The wonder that is India never stops overwhelming your senses. It is not a country for the frail and the timid. Unpredictable, spiritual, peaceful, complex, intelligent, emotional – a country that has seen and absorbed many invading and colonising cultures and has grown to a chaotic, vocal, economically booming and fiercely independent democracy that embraces both the poor  and the ostentatious luxury people. Commercialisation jostles with creativity and an ancient heritage and teachings already include and accept ultra-modern changes and a fast-paced evolution of ideas and inventions.</w:t>
      </w:r>
    </w:p>
    <w:p w14:paraId="5F3ED7CF" w14:textId="66CD8EAC" w:rsidR="00373303" w:rsidRPr="006D6644" w:rsidRDefault="006D6644" w:rsidP="006D6644">
      <w:pPr>
        <w:pStyle w:val="Heading1"/>
        <w:spacing w:line="264" w:lineRule="auto"/>
        <w:ind w:left="450" w:right="-990"/>
        <w:jc w:val="both"/>
        <w:rPr>
          <w:b w:val="0"/>
          <w:color w:val="404040" w:themeColor="text1" w:themeTint="BF"/>
          <w:lang w:eastAsia="en-GB"/>
        </w:rPr>
      </w:pPr>
      <w:r w:rsidRPr="006D6644">
        <w:rPr>
          <w:b w:val="0"/>
          <w:color w:val="404040" w:themeColor="text1" w:themeTint="BF"/>
          <w:lang w:eastAsia="en-GB"/>
        </w:rPr>
        <w:t>A trip to India is what travel stories are made of. It’s not just the places and the sightseeing that travellers relish, but also the festivals, the art</w:t>
      </w:r>
      <w:r w:rsidR="006E10A8">
        <w:rPr>
          <w:b w:val="0"/>
          <w:color w:val="404040" w:themeColor="text1" w:themeTint="BF"/>
          <w:lang w:eastAsia="en-GB"/>
        </w:rPr>
        <w:t>s</w:t>
      </w:r>
      <w:r w:rsidRPr="006D6644">
        <w:rPr>
          <w:b w:val="0"/>
          <w:color w:val="404040" w:themeColor="text1" w:themeTint="BF"/>
          <w:lang w:eastAsia="en-GB"/>
        </w:rPr>
        <w:t xml:space="preserve"> and craft, the people, the cuisines, and of course, the shopping.                                      </w:t>
      </w:r>
    </w:p>
    <w:p w14:paraId="08EA013C" w14:textId="77777777" w:rsidR="006D6644" w:rsidRDefault="006D6644" w:rsidP="006D6644">
      <w:pPr>
        <w:rPr>
          <w:color w:val="404040" w:themeColor="text1" w:themeTint="BF"/>
          <w:lang w:val="en-GB" w:eastAsia="en-GB" w:bidi="ar-SA"/>
        </w:rPr>
      </w:pPr>
    </w:p>
    <w:p w14:paraId="143E16E4" w14:textId="77777777" w:rsidR="006D6644" w:rsidRPr="006D6644" w:rsidRDefault="006D6644" w:rsidP="006D6644">
      <w:pPr>
        <w:rPr>
          <w:color w:val="404040" w:themeColor="text1" w:themeTint="BF"/>
          <w:lang w:val="en-GB" w:eastAsia="en-GB" w:bidi="ar-SA"/>
        </w:rPr>
      </w:pPr>
    </w:p>
    <w:p w14:paraId="2D00F63B" w14:textId="77777777" w:rsidR="006D6644" w:rsidRPr="00512DF7" w:rsidRDefault="006D6644" w:rsidP="006D6644">
      <w:pPr>
        <w:ind w:left="450" w:right="-990"/>
        <w:jc w:val="both"/>
        <w:rPr>
          <w:rFonts w:asciiTheme="majorHAnsi" w:hAnsiTheme="majorHAnsi"/>
          <w:b/>
          <w:color w:val="E36C0A" w:themeColor="accent6" w:themeShade="BF"/>
          <w:sz w:val="48"/>
          <w:lang w:eastAsia="en-GB"/>
        </w:rPr>
      </w:pPr>
      <w:r w:rsidRPr="00512DF7">
        <w:rPr>
          <w:rFonts w:asciiTheme="majorHAnsi" w:hAnsiTheme="majorHAnsi"/>
          <w:b/>
          <w:color w:val="E36C0A" w:themeColor="accent6" w:themeShade="BF"/>
          <w:sz w:val="32"/>
          <w:lang w:eastAsia="en-GB"/>
        </w:rPr>
        <w:t xml:space="preserve">ECONOMIC TRACES </w:t>
      </w:r>
      <w:r w:rsidRPr="00512DF7">
        <w:rPr>
          <w:rFonts w:asciiTheme="majorHAnsi" w:hAnsiTheme="majorHAnsi"/>
          <w:b/>
          <w:color w:val="E36C0A" w:themeColor="accent6" w:themeShade="BF"/>
          <w:sz w:val="48"/>
          <w:lang w:eastAsia="en-GB"/>
        </w:rPr>
        <w:t>2018</w:t>
      </w:r>
    </w:p>
    <w:p w14:paraId="18F30144" w14:textId="77777777" w:rsidR="006D6644" w:rsidRPr="00DB7EFB" w:rsidRDefault="006D6644" w:rsidP="006D6644">
      <w:pPr>
        <w:ind w:left="450" w:right="-990"/>
        <w:jc w:val="both"/>
        <w:rPr>
          <w:rFonts w:asciiTheme="majorHAnsi" w:hAnsiTheme="majorHAnsi"/>
          <w:b/>
          <w:sz w:val="32"/>
          <w:lang w:eastAsia="en-GB"/>
        </w:rPr>
      </w:pPr>
    </w:p>
    <w:p w14:paraId="3D843A49" w14:textId="466CBC88" w:rsidR="006D6644" w:rsidRDefault="006D6644" w:rsidP="006D6644">
      <w:pPr>
        <w:ind w:left="450" w:right="-990"/>
        <w:rPr>
          <w:rStyle w:val="Emphasis"/>
          <w:rFonts w:asciiTheme="majorHAnsi" w:hAnsiTheme="majorHAnsi"/>
          <w:color w:val="0D0D0D" w:themeColor="text1" w:themeTint="F2"/>
          <w:sz w:val="28"/>
        </w:rPr>
      </w:pPr>
      <w:r w:rsidRPr="008878FC">
        <w:rPr>
          <w:rStyle w:val="Emphasis"/>
          <w:rFonts w:asciiTheme="majorHAnsi" w:hAnsiTheme="majorHAnsi"/>
          <w:color w:val="0D0D0D" w:themeColor="text1" w:themeTint="F2"/>
          <w:sz w:val="28"/>
        </w:rPr>
        <w:t>According to World Travel &amp; Tourism Council (WTTC) on t</w:t>
      </w:r>
      <w:r>
        <w:rPr>
          <w:rStyle w:val="Emphasis"/>
          <w:rFonts w:asciiTheme="majorHAnsi" w:hAnsiTheme="majorHAnsi"/>
          <w:color w:val="0D0D0D" w:themeColor="text1" w:themeTint="F2"/>
          <w:sz w:val="28"/>
        </w:rPr>
        <w:t>he economic impact of travel &amp;</w:t>
      </w:r>
      <w:r w:rsidRPr="008878FC">
        <w:rPr>
          <w:rStyle w:val="Emphasis"/>
          <w:rFonts w:asciiTheme="majorHAnsi" w:hAnsiTheme="majorHAnsi"/>
          <w:color w:val="0D0D0D" w:themeColor="text1" w:themeTint="F2"/>
          <w:sz w:val="28"/>
        </w:rPr>
        <w:t xml:space="preserve"> tourism industry in India, leisure travel spending (inbound and domestic) generated 94.6</w:t>
      </w:r>
      <w:r>
        <w:rPr>
          <w:rStyle w:val="Emphasis"/>
          <w:rFonts w:asciiTheme="majorHAnsi" w:hAnsiTheme="majorHAnsi"/>
          <w:color w:val="0D0D0D" w:themeColor="text1" w:themeTint="F2"/>
          <w:sz w:val="28"/>
        </w:rPr>
        <w:t xml:space="preserve">. </w:t>
      </w:r>
    </w:p>
    <w:p w14:paraId="14BCDF49" w14:textId="77777777" w:rsidR="006D6644" w:rsidRDefault="006D6644" w:rsidP="006D6644">
      <w:pPr>
        <w:ind w:left="450" w:right="-990"/>
        <w:rPr>
          <w:rStyle w:val="Emphasis"/>
          <w:rFonts w:asciiTheme="majorHAnsi" w:hAnsiTheme="majorHAnsi"/>
          <w:color w:val="0D0D0D" w:themeColor="text1" w:themeTint="F2"/>
          <w:sz w:val="28"/>
        </w:rPr>
      </w:pPr>
    </w:p>
    <w:p w14:paraId="2CCEA20D" w14:textId="77777777" w:rsidR="006D6644" w:rsidRDefault="006D6644" w:rsidP="006D6644">
      <w:pPr>
        <w:ind w:left="450" w:right="-990"/>
        <w:rPr>
          <w:rStyle w:val="Emphasis"/>
          <w:rFonts w:asciiTheme="majorHAnsi" w:hAnsiTheme="majorHAnsi"/>
          <w:i w:val="0"/>
          <w:color w:val="0D0D0D" w:themeColor="text1" w:themeTint="F2"/>
          <w:sz w:val="28"/>
        </w:rPr>
      </w:pPr>
    </w:p>
    <w:p w14:paraId="0E2B9ED9" w14:textId="77777777" w:rsidR="006D6644" w:rsidRPr="006D6644" w:rsidRDefault="003A1D9B" w:rsidP="006D6644">
      <w:pPr>
        <w:rPr>
          <w:color w:val="404040" w:themeColor="text1" w:themeTint="BF"/>
          <w:lang w:val="en-GB" w:eastAsia="en-GB" w:bidi="ar-SA"/>
        </w:rPr>
      </w:pPr>
      <w:r>
        <w:rPr>
          <w:noProof/>
          <w:color w:val="404040" w:themeColor="text1" w:themeTint="BF"/>
          <w:lang w:bidi="ar-SA"/>
        </w:rPr>
        <w:lastRenderedPageBreak/>
        <w:drawing>
          <wp:anchor distT="0" distB="0" distL="114300" distR="114300" simplePos="0" relativeHeight="251661312" behindDoc="0" locked="0" layoutInCell="1" allowOverlap="1" wp14:anchorId="59B44918" wp14:editId="7465026B">
            <wp:simplePos x="0" y="0"/>
            <wp:positionH relativeFrom="margin">
              <wp:posOffset>342900</wp:posOffset>
            </wp:positionH>
            <wp:positionV relativeFrom="margin">
              <wp:posOffset>152400</wp:posOffset>
            </wp:positionV>
            <wp:extent cx="4419600" cy="2657475"/>
            <wp:effectExtent l="19050" t="0" r="19050" b="0"/>
            <wp:wrapSquare wrapText="bothSides"/>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3A79A14E" w14:textId="77777777" w:rsidR="003A1D9B" w:rsidRDefault="003A1D9B" w:rsidP="003A1D9B">
      <w:pPr>
        <w:ind w:left="675" w:right="-990" w:firstLine="45"/>
        <w:rPr>
          <w:rStyle w:val="Emphasis"/>
          <w:rFonts w:asciiTheme="majorHAnsi" w:hAnsiTheme="majorHAnsi"/>
          <w:color w:val="0D0D0D" w:themeColor="text1" w:themeTint="F2"/>
          <w:sz w:val="28"/>
        </w:rPr>
      </w:pPr>
    </w:p>
    <w:p w14:paraId="672E0932" w14:textId="77777777" w:rsidR="003A1D9B" w:rsidRDefault="003A1D9B" w:rsidP="003A1D9B">
      <w:pPr>
        <w:ind w:left="675" w:right="-990" w:firstLine="45"/>
        <w:rPr>
          <w:rStyle w:val="Emphasis"/>
          <w:rFonts w:asciiTheme="majorHAnsi" w:hAnsiTheme="majorHAnsi"/>
          <w:color w:val="0D0D0D" w:themeColor="text1" w:themeTint="F2"/>
          <w:sz w:val="28"/>
        </w:rPr>
      </w:pPr>
    </w:p>
    <w:p w14:paraId="6C23B786" w14:textId="77777777" w:rsidR="003A1D9B" w:rsidRPr="003A1D9B" w:rsidRDefault="003A1D9B" w:rsidP="003A1D9B">
      <w:pPr>
        <w:ind w:left="675" w:right="-990" w:firstLine="45"/>
        <w:rPr>
          <w:rStyle w:val="Emphasis"/>
          <w:rFonts w:asciiTheme="majorHAnsi" w:hAnsiTheme="majorHAnsi"/>
          <w:color w:val="404040" w:themeColor="text1" w:themeTint="BF"/>
          <w:sz w:val="28"/>
        </w:rPr>
      </w:pPr>
    </w:p>
    <w:p w14:paraId="31449341" w14:textId="3C41401C" w:rsidR="003A1D9B" w:rsidRPr="003A1D9B" w:rsidRDefault="003A1D9B" w:rsidP="003A1D9B">
      <w:pPr>
        <w:ind w:left="675" w:right="-990"/>
        <w:rPr>
          <w:rStyle w:val="Emphasis"/>
          <w:rFonts w:asciiTheme="majorHAnsi" w:hAnsiTheme="majorHAnsi"/>
          <w:i w:val="0"/>
          <w:color w:val="404040" w:themeColor="text1" w:themeTint="BF"/>
          <w:sz w:val="28"/>
        </w:rPr>
      </w:pPr>
      <w:r w:rsidRPr="003A1D9B">
        <w:rPr>
          <w:rStyle w:val="Emphasis"/>
          <w:rFonts w:asciiTheme="majorHAnsi" w:hAnsiTheme="majorHAnsi"/>
          <w:i w:val="0"/>
          <w:color w:val="404040" w:themeColor="text1" w:themeTint="BF"/>
          <w:sz w:val="28"/>
        </w:rPr>
        <w:t>Percent</w:t>
      </w:r>
      <w:r w:rsidR="000B4BA7">
        <w:rPr>
          <w:rStyle w:val="Emphasis"/>
          <w:rFonts w:asciiTheme="majorHAnsi" w:hAnsiTheme="majorHAnsi"/>
          <w:i w:val="0"/>
          <w:color w:val="404040" w:themeColor="text1" w:themeTint="BF"/>
          <w:sz w:val="28"/>
        </w:rPr>
        <w:t xml:space="preserve"> of direct travel &amp; </w:t>
      </w:r>
      <w:r w:rsidRPr="003A1D9B">
        <w:rPr>
          <w:rStyle w:val="Emphasis"/>
          <w:rFonts w:asciiTheme="majorHAnsi" w:hAnsiTheme="majorHAnsi"/>
          <w:i w:val="0"/>
          <w:color w:val="404040" w:themeColor="text1" w:themeTint="BF"/>
          <w:sz w:val="28"/>
        </w:rPr>
        <w:t>tourism GDP in 2017 compared with 5.4</w:t>
      </w:r>
      <w:r w:rsidR="000B4BA7">
        <w:rPr>
          <w:rStyle w:val="Emphasis"/>
          <w:rFonts w:asciiTheme="majorHAnsi" w:hAnsiTheme="majorHAnsi"/>
          <w:i w:val="0"/>
          <w:color w:val="404040" w:themeColor="text1" w:themeTint="BF"/>
          <w:sz w:val="28"/>
        </w:rPr>
        <w:t xml:space="preserve"> %</w:t>
      </w:r>
      <w:r w:rsidRPr="003A1D9B">
        <w:rPr>
          <w:rStyle w:val="Emphasis"/>
          <w:rFonts w:asciiTheme="majorHAnsi" w:hAnsiTheme="majorHAnsi"/>
          <w:i w:val="0"/>
          <w:color w:val="404040" w:themeColor="text1" w:themeTint="BF"/>
          <w:sz w:val="28"/>
        </w:rPr>
        <w:t xml:space="preserve"> for business travel spending. Leisure travel spending is expected to grow by 7.6 percent in 2018, and rise by </w:t>
      </w:r>
    </w:p>
    <w:p w14:paraId="2ED1FCF5" w14:textId="77777777" w:rsidR="003A1D9B" w:rsidRPr="003A1D9B" w:rsidRDefault="003A1D9B" w:rsidP="003A1D9B">
      <w:pPr>
        <w:tabs>
          <w:tab w:val="left" w:pos="450"/>
        </w:tabs>
        <w:rPr>
          <w:color w:val="404040" w:themeColor="text1" w:themeTint="BF"/>
          <w:lang w:val="en-GB" w:eastAsia="en-GB" w:bidi="ar-SA"/>
        </w:rPr>
      </w:pPr>
    </w:p>
    <w:p w14:paraId="48E1FC66" w14:textId="77777777" w:rsidR="006D6644" w:rsidRDefault="003A1D9B" w:rsidP="003A1D9B">
      <w:pPr>
        <w:tabs>
          <w:tab w:val="left" w:pos="450"/>
        </w:tabs>
        <w:ind w:left="450"/>
        <w:rPr>
          <w:color w:val="404040" w:themeColor="text1" w:themeTint="BF"/>
          <w:lang w:val="en-GB" w:eastAsia="en-GB" w:bidi="ar-SA"/>
        </w:rPr>
      </w:pPr>
      <w:r>
        <w:rPr>
          <w:color w:val="404040" w:themeColor="text1" w:themeTint="BF"/>
          <w:lang w:val="en-GB" w:eastAsia="en-GB" w:bidi="ar-SA"/>
        </w:rPr>
        <w:t xml:space="preserve">       </w:t>
      </w:r>
    </w:p>
    <w:p w14:paraId="209CB424" w14:textId="77777777" w:rsidR="003A1D9B" w:rsidRDefault="003A1D9B" w:rsidP="003A1D9B">
      <w:pPr>
        <w:tabs>
          <w:tab w:val="left" w:pos="450"/>
        </w:tabs>
        <w:ind w:left="450"/>
        <w:rPr>
          <w:color w:val="404040" w:themeColor="text1" w:themeTint="BF"/>
          <w:lang w:val="en-GB" w:eastAsia="en-GB" w:bidi="ar-SA"/>
        </w:rPr>
      </w:pPr>
    </w:p>
    <w:p w14:paraId="36B78FD0" w14:textId="77777777" w:rsidR="003A1D9B" w:rsidRDefault="003A1D9B" w:rsidP="003A1D9B">
      <w:pPr>
        <w:tabs>
          <w:tab w:val="left" w:pos="450"/>
        </w:tabs>
        <w:ind w:left="450"/>
        <w:rPr>
          <w:color w:val="404040" w:themeColor="text1" w:themeTint="BF"/>
          <w:lang w:val="en-GB" w:eastAsia="en-GB" w:bidi="ar-SA"/>
        </w:rPr>
      </w:pPr>
    </w:p>
    <w:p w14:paraId="3B14E406" w14:textId="77777777" w:rsidR="003A1D9B" w:rsidRDefault="003A1D9B" w:rsidP="003A1D9B">
      <w:pPr>
        <w:tabs>
          <w:tab w:val="left" w:pos="450"/>
        </w:tabs>
        <w:ind w:left="450"/>
        <w:rPr>
          <w:color w:val="404040" w:themeColor="text1" w:themeTint="BF"/>
          <w:lang w:val="en-GB" w:eastAsia="en-GB" w:bidi="ar-SA"/>
        </w:rPr>
      </w:pPr>
    </w:p>
    <w:p w14:paraId="2B7C7C45" w14:textId="77777777" w:rsidR="003A1D9B" w:rsidRDefault="003A1D9B" w:rsidP="003A1D9B">
      <w:pPr>
        <w:pStyle w:val="Heading1"/>
        <w:ind w:left="450" w:right="-1276"/>
        <w:rPr>
          <w:rStyle w:val="Emphasis"/>
          <w:b w:val="0"/>
          <w:i w:val="0"/>
          <w:color w:val="0D0D0D" w:themeColor="text1" w:themeTint="F2"/>
        </w:rPr>
      </w:pPr>
    </w:p>
    <w:p w14:paraId="61B81E7C" w14:textId="77777777" w:rsidR="003A1D9B" w:rsidRDefault="003A1D9B" w:rsidP="003A1D9B">
      <w:pPr>
        <w:pStyle w:val="Heading1"/>
        <w:ind w:left="450" w:right="-1276"/>
        <w:rPr>
          <w:rStyle w:val="Emphasis"/>
          <w:b w:val="0"/>
          <w:i w:val="0"/>
          <w:color w:val="0D0D0D" w:themeColor="text1" w:themeTint="F2"/>
        </w:rPr>
      </w:pPr>
    </w:p>
    <w:p w14:paraId="6F765675" w14:textId="77777777" w:rsidR="003A1D9B" w:rsidRPr="003A1D9B" w:rsidRDefault="003A1D9B" w:rsidP="003A1D9B">
      <w:pPr>
        <w:pStyle w:val="Heading1"/>
        <w:spacing w:before="240"/>
        <w:ind w:left="450" w:right="-1276"/>
        <w:rPr>
          <w:rStyle w:val="Emphasis"/>
          <w:b w:val="0"/>
          <w:i w:val="0"/>
          <w:iCs w:val="0"/>
          <w:color w:val="0D0D0D" w:themeColor="text1" w:themeTint="F2"/>
        </w:rPr>
      </w:pPr>
      <w:r>
        <w:rPr>
          <w:b w:val="0"/>
          <w:iCs/>
          <w:noProof/>
          <w:color w:val="0D0D0D" w:themeColor="text1" w:themeTint="F2"/>
          <w:lang w:val="en-US"/>
        </w:rPr>
        <w:drawing>
          <wp:anchor distT="0" distB="0" distL="114300" distR="114300" simplePos="0" relativeHeight="251663360" behindDoc="0" locked="0" layoutInCell="1" allowOverlap="1" wp14:anchorId="621AC7DE" wp14:editId="3872795F">
            <wp:simplePos x="0" y="0"/>
            <wp:positionH relativeFrom="margin">
              <wp:posOffset>3048000</wp:posOffset>
            </wp:positionH>
            <wp:positionV relativeFrom="margin">
              <wp:posOffset>3467100</wp:posOffset>
            </wp:positionV>
            <wp:extent cx="4419600" cy="2657475"/>
            <wp:effectExtent l="19050" t="0" r="0" b="0"/>
            <wp:wrapSquare wrapText="bothSides"/>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Pr="003A1D9B">
        <w:rPr>
          <w:rStyle w:val="Emphasis"/>
          <w:b w:val="0"/>
          <w:i w:val="0"/>
          <w:color w:val="0D0D0D" w:themeColor="text1" w:themeTint="F2"/>
        </w:rPr>
        <w:t xml:space="preserve">7.1 percent pa in 2028. Business </w:t>
      </w:r>
      <w:bookmarkStart w:id="0" w:name="_GoBack"/>
      <w:bookmarkEnd w:id="0"/>
      <w:r w:rsidRPr="003A1D9B">
        <w:rPr>
          <w:rStyle w:val="Emphasis"/>
          <w:b w:val="0"/>
          <w:i w:val="0"/>
          <w:color w:val="0D0D0D" w:themeColor="text1" w:themeTint="F2"/>
        </w:rPr>
        <w:t>travel spending is expected to grow by 6.7 percent in 2018, and rise by 7.0 percent pa in 2028.</w:t>
      </w:r>
    </w:p>
    <w:p w14:paraId="29DFB76C" w14:textId="77777777" w:rsidR="003A1D9B" w:rsidRDefault="003A1D9B" w:rsidP="003A1D9B">
      <w:pPr>
        <w:tabs>
          <w:tab w:val="left" w:pos="450"/>
        </w:tabs>
        <w:ind w:left="450"/>
        <w:rPr>
          <w:color w:val="404040" w:themeColor="text1" w:themeTint="BF"/>
          <w:lang w:val="en-GB" w:eastAsia="en-GB" w:bidi="ar-SA"/>
        </w:rPr>
      </w:pPr>
    </w:p>
    <w:p w14:paraId="068C79E3" w14:textId="77777777" w:rsidR="000B4BA7" w:rsidRDefault="000B4BA7" w:rsidP="003A1D9B">
      <w:pPr>
        <w:tabs>
          <w:tab w:val="left" w:pos="450"/>
        </w:tabs>
        <w:ind w:left="450"/>
        <w:rPr>
          <w:color w:val="404040" w:themeColor="text1" w:themeTint="BF"/>
          <w:lang w:val="en-GB" w:eastAsia="en-GB" w:bidi="ar-SA"/>
        </w:rPr>
      </w:pPr>
    </w:p>
    <w:p w14:paraId="562CB029" w14:textId="77777777" w:rsidR="000B4BA7" w:rsidRPr="000B4BA7" w:rsidRDefault="000B4BA7" w:rsidP="000B4BA7">
      <w:pPr>
        <w:pStyle w:val="Heading1"/>
        <w:ind w:left="450" w:right="-990"/>
        <w:rPr>
          <w:b w:val="0"/>
          <w:i/>
          <w:color w:val="595959" w:themeColor="text1" w:themeTint="A6"/>
        </w:rPr>
      </w:pPr>
      <w:r w:rsidRPr="000B4BA7">
        <w:rPr>
          <w:rStyle w:val="Emphasis"/>
          <w:b w:val="0"/>
          <w:color w:val="595959" w:themeColor="text1" w:themeTint="A6"/>
        </w:rPr>
        <w:t>According to WTTC, it has said, “2017 was one of the strongest years of GDP growth in a decade with robust consumer spending worldwide. This global growth transferred again into travel and tourism with the sector’s direct growth of 4.6 percent outpacing the global economy for the seventh successive year.”</w:t>
      </w:r>
    </w:p>
    <w:p w14:paraId="0B6F05AA" w14:textId="77777777" w:rsidR="000B4BA7" w:rsidRPr="000B4BA7" w:rsidRDefault="000B4BA7" w:rsidP="000B4BA7">
      <w:pPr>
        <w:pStyle w:val="Heading1"/>
        <w:ind w:left="450" w:right="-990"/>
        <w:rPr>
          <w:b w:val="0"/>
          <w:color w:val="0D0D0D" w:themeColor="text1" w:themeTint="F2"/>
        </w:rPr>
      </w:pPr>
      <w:r w:rsidRPr="000B4BA7">
        <w:rPr>
          <w:b w:val="0"/>
          <w:noProof/>
          <w:color w:val="0D0D0D" w:themeColor="text1" w:themeTint="F2"/>
          <w:lang w:val="en-US"/>
        </w:rPr>
        <w:drawing>
          <wp:anchor distT="0" distB="0" distL="114300" distR="114300" simplePos="0" relativeHeight="251665408" behindDoc="0" locked="0" layoutInCell="1" allowOverlap="1" wp14:anchorId="1AA716AB" wp14:editId="171D59D7">
            <wp:simplePos x="0" y="0"/>
            <wp:positionH relativeFrom="margin">
              <wp:posOffset>2895600</wp:posOffset>
            </wp:positionH>
            <wp:positionV relativeFrom="margin">
              <wp:align>center</wp:align>
            </wp:positionV>
            <wp:extent cx="4419600" cy="2657475"/>
            <wp:effectExtent l="19050" t="0" r="19050" b="0"/>
            <wp:wrapSquare wrapText="bothSides"/>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0B4BA7">
        <w:rPr>
          <w:b w:val="0"/>
          <w:color w:val="0D0D0D" w:themeColor="text1" w:themeTint="F2"/>
        </w:rPr>
        <w:t xml:space="preserve">The total contribution of Travel &amp; Tourism to GDP was, 9.4% of GDP in 2017, and is forecast to rise by 7.5% in 2018, and to rise by 6.9% pa to, 9.9% of GDP in 2028. </w:t>
      </w:r>
    </w:p>
    <w:p w14:paraId="3D390C65" w14:textId="77777777" w:rsidR="000B4BA7" w:rsidRPr="006D6644" w:rsidRDefault="000B4BA7" w:rsidP="000B4BA7">
      <w:pPr>
        <w:tabs>
          <w:tab w:val="left" w:pos="450"/>
        </w:tabs>
        <w:ind w:left="450" w:right="-990"/>
        <w:rPr>
          <w:color w:val="404040" w:themeColor="text1" w:themeTint="BF"/>
          <w:lang w:val="en-GB" w:eastAsia="en-GB" w:bidi="ar-SA"/>
        </w:rPr>
      </w:pPr>
    </w:p>
    <w:sectPr w:rsidR="000B4BA7" w:rsidRPr="006D6644" w:rsidSect="003A1D9B">
      <w:pgSz w:w="12240" w:h="15840" w:code="1"/>
      <w:pgMar w:top="450" w:right="144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03"/>
    <w:rsid w:val="000B4BA7"/>
    <w:rsid w:val="00190C1E"/>
    <w:rsid w:val="00201B8B"/>
    <w:rsid w:val="00373303"/>
    <w:rsid w:val="003A1D9B"/>
    <w:rsid w:val="004A03A0"/>
    <w:rsid w:val="00512DF7"/>
    <w:rsid w:val="006B5B25"/>
    <w:rsid w:val="006D6644"/>
    <w:rsid w:val="006E10A8"/>
    <w:rsid w:val="00896D31"/>
    <w:rsid w:val="009B1FA5"/>
    <w:rsid w:val="00BA310A"/>
    <w:rsid w:val="00CA55E6"/>
    <w:rsid w:val="00EB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AC4F"/>
  <w15:docId w15:val="{E1B0C1C7-5E49-4EE8-A9DC-BFE63ECF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90C1E"/>
    <w:pPr>
      <w:widowControl w:val="0"/>
      <w:autoSpaceDE w:val="0"/>
      <w:autoSpaceDN w:val="0"/>
      <w:spacing w:after="0" w:line="240" w:lineRule="auto"/>
    </w:pPr>
    <w:rPr>
      <w:rFonts w:ascii="Arial" w:hAnsi="Arial" w:cs="Arial"/>
      <w:lang w:bidi="en-US"/>
    </w:rPr>
  </w:style>
  <w:style w:type="paragraph" w:styleId="Heading1">
    <w:name w:val="heading 1"/>
    <w:basedOn w:val="Normal"/>
    <w:next w:val="Normal"/>
    <w:link w:val="Heading1Char"/>
    <w:uiPriority w:val="9"/>
    <w:qFormat/>
    <w:rsid w:val="00373303"/>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0C1E"/>
    <w:rPr>
      <w:i/>
      <w:sz w:val="24"/>
      <w:szCs w:val="24"/>
    </w:rPr>
  </w:style>
  <w:style w:type="character" w:customStyle="1" w:styleId="BodyTextChar">
    <w:name w:val="Body Text Char"/>
    <w:basedOn w:val="DefaultParagraphFont"/>
    <w:link w:val="BodyText"/>
    <w:uiPriority w:val="1"/>
    <w:rsid w:val="00190C1E"/>
    <w:rPr>
      <w:rFonts w:ascii="Arial" w:eastAsia="Arial" w:hAnsi="Arial" w:cs="Arial"/>
      <w:i/>
      <w:sz w:val="24"/>
      <w:szCs w:val="24"/>
      <w:lang w:bidi="en-US"/>
    </w:rPr>
  </w:style>
  <w:style w:type="character" w:styleId="Emphasis">
    <w:name w:val="Emphasis"/>
    <w:basedOn w:val="DefaultParagraphFont"/>
    <w:uiPriority w:val="20"/>
    <w:qFormat/>
    <w:rsid w:val="00190C1E"/>
    <w:rPr>
      <w:i/>
      <w:iCs/>
    </w:rPr>
  </w:style>
  <w:style w:type="paragraph" w:styleId="ListParagraph">
    <w:name w:val="List Paragraph"/>
    <w:basedOn w:val="Normal"/>
    <w:uiPriority w:val="1"/>
    <w:qFormat/>
    <w:rsid w:val="00190C1E"/>
    <w:pPr>
      <w:spacing w:before="60"/>
      <w:ind w:left="860" w:hanging="720"/>
    </w:pPr>
  </w:style>
  <w:style w:type="paragraph" w:styleId="BalloonText">
    <w:name w:val="Balloon Text"/>
    <w:basedOn w:val="Normal"/>
    <w:link w:val="BalloonTextChar"/>
    <w:uiPriority w:val="99"/>
    <w:semiHidden/>
    <w:unhideWhenUsed/>
    <w:rsid w:val="00373303"/>
    <w:rPr>
      <w:rFonts w:ascii="Tahoma" w:hAnsi="Tahoma" w:cs="Tahoma"/>
      <w:sz w:val="16"/>
      <w:szCs w:val="16"/>
    </w:rPr>
  </w:style>
  <w:style w:type="character" w:customStyle="1" w:styleId="BalloonTextChar">
    <w:name w:val="Balloon Text Char"/>
    <w:basedOn w:val="DefaultParagraphFont"/>
    <w:link w:val="BalloonText"/>
    <w:uiPriority w:val="99"/>
    <w:semiHidden/>
    <w:rsid w:val="00373303"/>
    <w:rPr>
      <w:rFonts w:ascii="Tahoma" w:hAnsi="Tahoma" w:cs="Tahoma"/>
      <w:sz w:val="16"/>
      <w:szCs w:val="16"/>
      <w:lang w:bidi="en-US"/>
    </w:rPr>
  </w:style>
  <w:style w:type="paragraph" w:styleId="Title">
    <w:name w:val="Title"/>
    <w:basedOn w:val="Normal"/>
    <w:next w:val="Normal"/>
    <w:link w:val="TitleChar"/>
    <w:uiPriority w:val="10"/>
    <w:qFormat/>
    <w:rsid w:val="00373303"/>
    <w:pPr>
      <w:widowControl/>
      <w:pBdr>
        <w:bottom w:val="single" w:sz="8" w:space="4" w:color="4F81BD" w:themeColor="accent1"/>
      </w:pBdr>
      <w:autoSpaceDE/>
      <w:autoSpaceDN/>
      <w:spacing w:after="300"/>
      <w:contextualSpacing/>
    </w:pPr>
    <w:rPr>
      <w:rFonts w:asciiTheme="majorHAnsi" w:eastAsiaTheme="majorEastAsia" w:hAnsiTheme="majorHAnsi" w:cstheme="majorBidi"/>
      <w:color w:val="17365D" w:themeColor="text2" w:themeShade="BF"/>
      <w:spacing w:val="5"/>
      <w:kern w:val="28"/>
      <w:sz w:val="52"/>
      <w:szCs w:val="52"/>
      <w:lang w:val="en-GB" w:bidi="ar-SA"/>
    </w:rPr>
  </w:style>
  <w:style w:type="character" w:customStyle="1" w:styleId="TitleChar">
    <w:name w:val="Title Char"/>
    <w:basedOn w:val="DefaultParagraphFont"/>
    <w:link w:val="Title"/>
    <w:uiPriority w:val="10"/>
    <w:rsid w:val="00373303"/>
    <w:rPr>
      <w:rFonts w:asciiTheme="majorHAnsi" w:eastAsiaTheme="majorEastAsia" w:hAnsiTheme="majorHAnsi" w:cstheme="majorBidi"/>
      <w:color w:val="17365D" w:themeColor="text2" w:themeShade="BF"/>
      <w:spacing w:val="5"/>
      <w:kern w:val="28"/>
      <w:sz w:val="52"/>
      <w:szCs w:val="52"/>
      <w:lang w:val="en-GB"/>
    </w:rPr>
  </w:style>
  <w:style w:type="paragraph" w:styleId="NoSpacing">
    <w:name w:val="No Spacing"/>
    <w:uiPriority w:val="1"/>
    <w:qFormat/>
    <w:rsid w:val="00373303"/>
    <w:pPr>
      <w:spacing w:after="0" w:line="240" w:lineRule="auto"/>
    </w:pPr>
    <w:rPr>
      <w:rFonts w:eastAsiaTheme="minorHAnsi"/>
      <w:lang w:val="en-GB"/>
    </w:rPr>
  </w:style>
  <w:style w:type="character" w:customStyle="1" w:styleId="Heading1Char">
    <w:name w:val="Heading 1 Char"/>
    <w:basedOn w:val="DefaultParagraphFont"/>
    <w:link w:val="Heading1"/>
    <w:uiPriority w:val="9"/>
    <w:rsid w:val="00373303"/>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n-GB"/>
              <a:t>INDIA:VISITOR EXPORTS &amp; INTERNATIONAL TOURIST ARRIVALS </a:t>
            </a:r>
            <a:endParaRPr lang="en-US"/>
          </a:p>
        </c:rich>
      </c:tx>
      <c:overlay val="0"/>
    </c:title>
    <c:autoTitleDeleted val="0"/>
    <c:view3D>
      <c:rotX val="10"/>
      <c:rotY val="0"/>
      <c:depthPercent val="210"/>
      <c:rAngAx val="0"/>
      <c:perspective val="60"/>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International Tourist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2015</c:v>
                </c:pt>
                <c:pt idx="1">
                  <c:v>2016</c:v>
                </c:pt>
                <c:pt idx="2">
                  <c:v>2017</c:v>
                </c:pt>
                <c:pt idx="3">
                  <c:v>2018</c:v>
                </c:pt>
                <c:pt idx="4">
                  <c:v>2028</c:v>
                </c:pt>
              </c:numCache>
            </c:numRef>
          </c:cat>
          <c:val>
            <c:numRef>
              <c:f>Sheet1!$B$2:$B$6</c:f>
              <c:numCache>
                <c:formatCode>General</c:formatCode>
                <c:ptCount val="5"/>
                <c:pt idx="0">
                  <c:v>4.8</c:v>
                </c:pt>
                <c:pt idx="1">
                  <c:v>5.6</c:v>
                </c:pt>
                <c:pt idx="2">
                  <c:v>5.9</c:v>
                </c:pt>
                <c:pt idx="3">
                  <c:v>5.8</c:v>
                </c:pt>
                <c:pt idx="4">
                  <c:v>5.2</c:v>
                </c:pt>
              </c:numCache>
            </c:numRef>
          </c:val>
          <c:shape val="box"/>
          <c:extLst>
            <c:ext xmlns:c16="http://schemas.microsoft.com/office/drawing/2014/chart" uri="{C3380CC4-5D6E-409C-BE32-E72D297353CC}">
              <c16:uniqueId val="{00000000-B6B1-4C5F-BA7A-639F14902FB3}"/>
            </c:ext>
          </c:extLst>
        </c:ser>
        <c:dLbls>
          <c:showLegendKey val="0"/>
          <c:showVal val="0"/>
          <c:showCatName val="0"/>
          <c:showSerName val="0"/>
          <c:showPercent val="0"/>
          <c:showBubbleSize val="0"/>
        </c:dLbls>
        <c:gapWidth val="150"/>
        <c:shape val="cylinder"/>
        <c:axId val="86207872"/>
        <c:axId val="86233472"/>
        <c:axId val="0"/>
      </c:bar3DChart>
      <c:catAx>
        <c:axId val="86207872"/>
        <c:scaling>
          <c:orientation val="minMax"/>
        </c:scaling>
        <c:delete val="0"/>
        <c:axPos val="b"/>
        <c:numFmt formatCode="General" sourceLinked="1"/>
        <c:majorTickMark val="none"/>
        <c:minorTickMark val="none"/>
        <c:tickLblPos val="nextTo"/>
        <c:crossAx val="86233472"/>
        <c:crosses val="autoZero"/>
        <c:auto val="1"/>
        <c:lblAlgn val="ctr"/>
        <c:lblOffset val="100"/>
        <c:noMultiLvlLbl val="0"/>
      </c:catAx>
      <c:valAx>
        <c:axId val="86233472"/>
        <c:scaling>
          <c:orientation val="minMax"/>
        </c:scaling>
        <c:delete val="0"/>
        <c:axPos val="l"/>
        <c:majorGridlines/>
        <c:title>
          <c:tx>
            <c:rich>
              <a:bodyPr/>
              <a:lstStyle/>
              <a:p>
                <a:pPr>
                  <a:defRPr/>
                </a:pPr>
                <a:r>
                  <a:rPr lang="en-GB"/>
                  <a:t>Grow of Percent</a:t>
                </a:r>
              </a:p>
            </c:rich>
          </c:tx>
          <c:overlay val="0"/>
        </c:title>
        <c:numFmt formatCode="#,##0.0" sourceLinked="0"/>
        <c:majorTickMark val="none"/>
        <c:minorTickMark val="none"/>
        <c:tickLblPos val="nextTo"/>
        <c:crossAx val="862078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a:pPr>
            <a:r>
              <a:rPr lang="en-US" sz="1100" b="1" i="0" u="none" strike="noStrike" baseline="0"/>
              <a:t>INDIA:CAPITAL INVESTMENT IN TRAVEL &amp; TOURISM</a:t>
            </a:r>
            <a:endParaRPr lang="en-US" sz="1100"/>
          </a:p>
        </c:rich>
      </c:tx>
      <c:overlay val="0"/>
    </c:title>
    <c:autoTitleDeleted val="0"/>
    <c:view3D>
      <c:rotX val="10"/>
      <c:rotY val="0"/>
      <c:depthPercent val="210"/>
      <c:rAngAx val="0"/>
      <c:perspective val="60"/>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International Tourist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2015</c:v>
                </c:pt>
                <c:pt idx="1">
                  <c:v>2016</c:v>
                </c:pt>
                <c:pt idx="2">
                  <c:v>2017</c:v>
                </c:pt>
                <c:pt idx="3">
                  <c:v>2018</c:v>
                </c:pt>
                <c:pt idx="4">
                  <c:v>2028</c:v>
                </c:pt>
              </c:numCache>
            </c:numRef>
          </c:cat>
          <c:val>
            <c:numRef>
              <c:f>Sheet1!$B$2:$B$6</c:f>
              <c:numCache>
                <c:formatCode>General</c:formatCode>
                <c:ptCount val="5"/>
                <c:pt idx="0">
                  <c:v>4.8</c:v>
                </c:pt>
                <c:pt idx="1">
                  <c:v>5.6</c:v>
                </c:pt>
                <c:pt idx="2">
                  <c:v>5.9</c:v>
                </c:pt>
                <c:pt idx="3">
                  <c:v>5.8</c:v>
                </c:pt>
                <c:pt idx="4">
                  <c:v>5.2</c:v>
                </c:pt>
              </c:numCache>
            </c:numRef>
          </c:val>
          <c:shape val="box"/>
          <c:extLst>
            <c:ext xmlns:c16="http://schemas.microsoft.com/office/drawing/2014/chart" uri="{C3380CC4-5D6E-409C-BE32-E72D297353CC}">
              <c16:uniqueId val="{00000000-A026-4B4C-B685-A2F8BA1B9B25}"/>
            </c:ext>
          </c:extLst>
        </c:ser>
        <c:dLbls>
          <c:showLegendKey val="0"/>
          <c:showVal val="0"/>
          <c:showCatName val="0"/>
          <c:showSerName val="0"/>
          <c:showPercent val="0"/>
          <c:showBubbleSize val="0"/>
        </c:dLbls>
        <c:gapWidth val="150"/>
        <c:shape val="cylinder"/>
        <c:axId val="60868864"/>
        <c:axId val="60899328"/>
        <c:axId val="0"/>
      </c:bar3DChart>
      <c:catAx>
        <c:axId val="60868864"/>
        <c:scaling>
          <c:orientation val="minMax"/>
        </c:scaling>
        <c:delete val="0"/>
        <c:axPos val="b"/>
        <c:numFmt formatCode="General" sourceLinked="1"/>
        <c:majorTickMark val="none"/>
        <c:minorTickMark val="none"/>
        <c:tickLblPos val="nextTo"/>
        <c:crossAx val="60899328"/>
        <c:crosses val="autoZero"/>
        <c:auto val="1"/>
        <c:lblAlgn val="ctr"/>
        <c:lblOffset val="100"/>
        <c:noMultiLvlLbl val="0"/>
      </c:catAx>
      <c:valAx>
        <c:axId val="60899328"/>
        <c:scaling>
          <c:orientation val="minMax"/>
        </c:scaling>
        <c:delete val="0"/>
        <c:axPos val="l"/>
        <c:majorGridlines/>
        <c:title>
          <c:tx>
            <c:rich>
              <a:bodyPr/>
              <a:lstStyle/>
              <a:p>
                <a:pPr>
                  <a:defRPr/>
                </a:pPr>
                <a:r>
                  <a:rPr lang="en-GB"/>
                  <a:t>Grow of Percent</a:t>
                </a:r>
              </a:p>
            </c:rich>
          </c:tx>
          <c:overlay val="0"/>
        </c:title>
        <c:numFmt formatCode="#,##0.0" sourceLinked="0"/>
        <c:majorTickMark val="none"/>
        <c:minorTickMark val="none"/>
        <c:tickLblPos val="nextTo"/>
        <c:crossAx val="60868864"/>
        <c:crosses val="autoZero"/>
        <c:crossBetween val="between"/>
      </c:valAx>
      <c:dTable>
        <c:showHorzBorder val="1"/>
        <c:showVertBorder val="1"/>
        <c:showOutline val="1"/>
        <c:showKeys val="1"/>
      </c:dTable>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5"/>
    </mc:Choice>
    <mc:Fallback>
      <c:style val="35"/>
    </mc:Fallback>
  </mc:AlternateContent>
  <c:chart>
    <c:title>
      <c:tx>
        <c:rich>
          <a:bodyPr/>
          <a:lstStyle/>
          <a:p>
            <a:pPr>
              <a:defRPr/>
            </a:pPr>
            <a:r>
              <a:rPr lang="en-GB"/>
              <a:t> Total GDP Contribution</a:t>
            </a:r>
            <a:endParaRPr lang="en-US"/>
          </a:p>
        </c:rich>
      </c:tx>
      <c:overlay val="0"/>
    </c:title>
    <c:autoTitleDeleted val="0"/>
    <c:view3D>
      <c:rotX val="10"/>
      <c:rotY val="0"/>
      <c:depthPercent val="210"/>
      <c:rAngAx val="0"/>
      <c:perspective val="60"/>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Direct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Sheet1!$A$2:$A$4</c:f>
              <c:numCache>
                <c:formatCode>General</c:formatCode>
                <c:ptCount val="3"/>
                <c:pt idx="0">
                  <c:v>2017</c:v>
                </c:pt>
                <c:pt idx="1">
                  <c:v>2018</c:v>
                </c:pt>
                <c:pt idx="2">
                  <c:v>2028</c:v>
                </c:pt>
              </c:numCache>
            </c:numRef>
          </c:cat>
          <c:val>
            <c:numRef>
              <c:f>Sheet1!$B$2:$B$4</c:f>
              <c:numCache>
                <c:formatCode>General</c:formatCode>
                <c:ptCount val="3"/>
                <c:pt idx="0">
                  <c:v>5</c:v>
                </c:pt>
                <c:pt idx="1">
                  <c:v>5</c:v>
                </c:pt>
                <c:pt idx="2">
                  <c:v>5.2</c:v>
                </c:pt>
              </c:numCache>
            </c:numRef>
          </c:val>
          <c:extLst>
            <c:ext xmlns:c16="http://schemas.microsoft.com/office/drawing/2014/chart" uri="{C3380CC4-5D6E-409C-BE32-E72D297353CC}">
              <c16:uniqueId val="{00000000-B990-41E1-8A4E-5DC5D46723CB}"/>
            </c:ext>
          </c:extLst>
        </c:ser>
        <c:ser>
          <c:idx val="1"/>
          <c:order val="1"/>
          <c:tx>
            <c:strRef>
              <c:f>Sheet1!$C$1</c:f>
              <c:strCache>
                <c:ptCount val="1"/>
                <c:pt idx="0">
                  <c:v>Indirect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Sheet1!$A$2:$A$4</c:f>
              <c:numCache>
                <c:formatCode>General</c:formatCode>
                <c:ptCount val="3"/>
                <c:pt idx="0">
                  <c:v>2017</c:v>
                </c:pt>
                <c:pt idx="1">
                  <c:v>2018</c:v>
                </c:pt>
                <c:pt idx="2">
                  <c:v>2028</c:v>
                </c:pt>
              </c:numCache>
            </c:numRef>
          </c:cat>
          <c:val>
            <c:numRef>
              <c:f>Sheet1!$C$2:$C$4</c:f>
              <c:numCache>
                <c:formatCode>General</c:formatCode>
                <c:ptCount val="3"/>
                <c:pt idx="0">
                  <c:v>7</c:v>
                </c:pt>
                <c:pt idx="1">
                  <c:v>7.1</c:v>
                </c:pt>
                <c:pt idx="2">
                  <c:v>7.2</c:v>
                </c:pt>
              </c:numCache>
            </c:numRef>
          </c:val>
          <c:extLst>
            <c:ext xmlns:c16="http://schemas.microsoft.com/office/drawing/2014/chart" uri="{C3380CC4-5D6E-409C-BE32-E72D297353CC}">
              <c16:uniqueId val="{00000001-B990-41E1-8A4E-5DC5D46723CB}"/>
            </c:ext>
          </c:extLst>
        </c:ser>
        <c:ser>
          <c:idx val="2"/>
          <c:order val="2"/>
          <c:tx>
            <c:strRef>
              <c:f>Sheet1!$D$1</c:f>
              <c:strCache>
                <c:ptCount val="1"/>
                <c:pt idx="0">
                  <c:v>Induced</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Sheet1!$A$2:$A$4</c:f>
              <c:numCache>
                <c:formatCode>General</c:formatCode>
                <c:ptCount val="3"/>
                <c:pt idx="0">
                  <c:v>2017</c:v>
                </c:pt>
                <c:pt idx="1">
                  <c:v>2018</c:v>
                </c:pt>
                <c:pt idx="2">
                  <c:v>2028</c:v>
                </c:pt>
              </c:numCache>
            </c:numRef>
          </c:cat>
          <c:val>
            <c:numRef>
              <c:f>Sheet1!$D$2:$D$4</c:f>
              <c:numCache>
                <c:formatCode>General</c:formatCode>
                <c:ptCount val="3"/>
                <c:pt idx="0">
                  <c:v>8</c:v>
                </c:pt>
                <c:pt idx="1">
                  <c:v>8.2000000000000011</c:v>
                </c:pt>
                <c:pt idx="2">
                  <c:v>8.4</c:v>
                </c:pt>
              </c:numCache>
            </c:numRef>
          </c:val>
          <c:extLst>
            <c:ext xmlns:c16="http://schemas.microsoft.com/office/drawing/2014/chart" uri="{C3380CC4-5D6E-409C-BE32-E72D297353CC}">
              <c16:uniqueId val="{00000002-B990-41E1-8A4E-5DC5D46723CB}"/>
            </c:ext>
          </c:extLst>
        </c:ser>
        <c:dLbls>
          <c:showLegendKey val="0"/>
          <c:showVal val="1"/>
          <c:showCatName val="0"/>
          <c:showSerName val="0"/>
          <c:showPercent val="0"/>
          <c:showBubbleSize val="0"/>
        </c:dLbls>
        <c:gapWidth val="95"/>
        <c:gapDepth val="95"/>
        <c:shape val="box"/>
        <c:axId val="56980224"/>
        <c:axId val="56981760"/>
        <c:axId val="0"/>
      </c:bar3DChart>
      <c:catAx>
        <c:axId val="56980224"/>
        <c:scaling>
          <c:orientation val="minMax"/>
        </c:scaling>
        <c:delete val="0"/>
        <c:axPos val="b"/>
        <c:numFmt formatCode="General" sourceLinked="1"/>
        <c:majorTickMark val="none"/>
        <c:minorTickMark val="none"/>
        <c:tickLblPos val="nextTo"/>
        <c:crossAx val="56981760"/>
        <c:crosses val="autoZero"/>
        <c:auto val="1"/>
        <c:lblAlgn val="ctr"/>
        <c:lblOffset val="100"/>
        <c:noMultiLvlLbl val="0"/>
      </c:catAx>
      <c:valAx>
        <c:axId val="56981760"/>
        <c:scaling>
          <c:orientation val="minMax"/>
        </c:scaling>
        <c:delete val="1"/>
        <c:axPos val="l"/>
        <c:numFmt formatCode="#,##0.0" sourceLinked="0"/>
        <c:majorTickMark val="none"/>
        <c:minorTickMark val="none"/>
        <c:tickLblPos val="nextTo"/>
        <c:crossAx val="56980224"/>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87170-DE05-450F-9419-40F43982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wagh</dc:creator>
  <cp:lastModifiedBy>Harshita</cp:lastModifiedBy>
  <cp:revision>2</cp:revision>
  <dcterms:created xsi:type="dcterms:W3CDTF">2018-11-02T12:33:00Z</dcterms:created>
  <dcterms:modified xsi:type="dcterms:W3CDTF">2018-11-02T12:33:00Z</dcterms:modified>
</cp:coreProperties>
</file>