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 TASK</w:t>
        <w:br/>
      </w:r>
      <w:r>
        <w:rPr>
          <w:b/>
          <w:sz w:val="52"/>
        </w:rPr>
        <w:t>SAP FICO CONFIGURATION</w:t>
        <w:br/>
      </w:r>
      <w:r>
        <w:rPr>
          <w:i/>
        </w:rPr>
        <w:br/>
        <w:t>Beginner-Friendly Configuration Guide for SAP S/4HANA</w:t>
      </w:r>
      <w:r>
        <w:br/>
        <w:br/>
        <w:t>Prepared as a learning and documentation guide</w:t>
      </w:r>
      <w:r>
        <w:br/>
        <w:t>Date: 27 August 2026</w:t>
      </w:r>
    </w:p>
    <w:p>
      <w:r>
        <w:br w:type="page"/>
      </w:r>
    </w:p>
    <w:p>
      <w:pPr>
        <w:pStyle w:val="Heading1"/>
      </w:pPr>
      <w:r>
        <w:t>1. Executive Summary</w:t>
      </w:r>
    </w:p>
    <w:p>
      <w:r>
        <w:t>SAP FICO combines Financial Accounting (FI) and Controlling (CO). FI records and reports external financial transactions such as sales, purchases, cash, assets, taxes and liabilities. CO supports internal management reporting by collecting, allocating and analyzing costs and revenues. Configuration is the process of translating a company's accounting rules, organizational structure and reporting requirements into SAP settings.</w:t>
      </w:r>
    </w:p>
    <w:p>
      <w:r>
        <w:t>This guide focuses on the configuration logic used in SAP S/4HANA. The exact screens, configuration activities and transaction availability depend on the deployment model (S/4HANA Cloud Public Edition, Private Edition or on-premise), release and authorization. Therefore, the guide explains the business sequence first and uses classic transaction codes only as learning references where appropriate.</w:t>
      </w:r>
    </w:p>
    <w:p>
      <w:pPr>
        <w:pStyle w:val="Heading1"/>
      </w:pPr>
      <w:r>
        <w:t>2. What is SAP FICO Configuration?</w:t>
      </w:r>
    </w:p>
    <w:p>
      <w:r>
        <w:t>Configuration means setting up SAP so that a business transaction produces the intended accounting result automatically. For example, when a company posts a supplier invoice, SAP must know the company code, fiscal period, supplier account, expense or inventory account, tax treatment, currency, payment terms and document controls.</w:t>
      </w:r>
    </w:p>
    <w:p>
      <w:r>
        <w:t>A useful way to remember the concept 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Business Requirement</w:t>
            </w:r>
          </w:p>
        </w:tc>
        <w:tc>
          <w:tcPr>
            <w:tcW w:type="dxa" w:w="3312"/>
          </w:tcPr>
          <w:p>
            <w:r>
              <w:t>SAP Configuration</w:t>
            </w:r>
          </w:p>
        </w:tc>
        <w:tc>
          <w:tcPr>
            <w:tcW w:type="dxa" w:w="3312"/>
          </w:tcPr>
          <w:p>
            <w:r>
              <w:t>Business Result</w:t>
            </w:r>
          </w:p>
        </w:tc>
      </w:tr>
      <w:tr>
        <w:tc>
          <w:tcPr>
            <w:tcW w:type="dxa" w:w="3312"/>
          </w:tcPr>
          <w:p>
            <w:r>
              <w:t>Company operates April–March</w:t>
            </w:r>
          </w:p>
        </w:tc>
        <w:tc>
          <w:tcPr>
            <w:tcW w:type="dxa" w:w="3312"/>
          </w:tcPr>
          <w:p>
            <w:r>
              <w:t>Fiscal year variant</w:t>
            </w:r>
          </w:p>
        </w:tc>
        <w:tc>
          <w:tcPr>
            <w:tcW w:type="dxa" w:w="3312"/>
          </w:tcPr>
          <w:p>
            <w:r>
              <w:t>Posting dates fall into correct fiscal periods</w:t>
            </w:r>
          </w:p>
        </w:tc>
      </w:tr>
      <w:tr>
        <w:tc>
          <w:tcPr>
            <w:tcW w:type="dxa" w:w="3312"/>
          </w:tcPr>
          <w:p>
            <w:r>
              <w:t>Only authorized periods can be posted</w:t>
            </w:r>
          </w:p>
        </w:tc>
        <w:tc>
          <w:tcPr>
            <w:tcW w:type="dxa" w:w="3312"/>
          </w:tcPr>
          <w:p>
            <w:r>
              <w:t>Posting period variant</w:t>
            </w:r>
          </w:p>
        </w:tc>
        <w:tc>
          <w:tcPr>
            <w:tcW w:type="dxa" w:w="3312"/>
          </w:tcPr>
          <w:p>
            <w:r>
              <w:t>Period control</w:t>
            </w:r>
          </w:p>
        </w:tc>
      </w:tr>
      <w:tr>
        <w:tc>
          <w:tcPr>
            <w:tcW w:type="dxa" w:w="3312"/>
          </w:tcPr>
          <w:p>
            <w:r>
              <w:t>Different types of journal entries</w:t>
            </w:r>
          </w:p>
        </w:tc>
        <w:tc>
          <w:tcPr>
            <w:tcW w:type="dxa" w:w="3312"/>
          </w:tcPr>
          <w:p>
            <w:r>
              <w:t>Document types + number ranges</w:t>
            </w:r>
          </w:p>
        </w:tc>
        <w:tc>
          <w:tcPr>
            <w:tcW w:type="dxa" w:w="3312"/>
          </w:tcPr>
          <w:p>
            <w:r>
              <w:t>Controlled document numbering</w:t>
            </w:r>
          </w:p>
        </w:tc>
      </w:tr>
      <w:tr>
        <w:tc>
          <w:tcPr>
            <w:tcW w:type="dxa" w:w="3312"/>
          </w:tcPr>
          <w:p>
            <w:r>
              <w:t>Different G/L account structures</w:t>
            </w:r>
          </w:p>
        </w:tc>
        <w:tc>
          <w:tcPr>
            <w:tcW w:type="dxa" w:w="3312"/>
          </w:tcPr>
          <w:p>
            <w:r>
              <w:t>Chart of accounts + account groups</w:t>
            </w:r>
          </w:p>
        </w:tc>
        <w:tc>
          <w:tcPr>
            <w:tcW w:type="dxa" w:w="3312"/>
          </w:tcPr>
          <w:p>
            <w:r>
              <w:t>Consistent G/L master data</w:t>
            </w:r>
          </w:p>
        </w:tc>
      </w:tr>
      <w:tr>
        <w:tc>
          <w:tcPr>
            <w:tcW w:type="dxa" w:w="3312"/>
          </w:tcPr>
          <w:p>
            <w:r>
              <w:t>GST/VAT must be calculated</w:t>
            </w:r>
          </w:p>
        </w:tc>
        <w:tc>
          <w:tcPr>
            <w:tcW w:type="dxa" w:w="3312"/>
          </w:tcPr>
          <w:p>
            <w:r>
              <w:t>Tax procedure + tax codes + tax accounts</w:t>
            </w:r>
          </w:p>
        </w:tc>
        <w:tc>
          <w:tcPr>
            <w:tcW w:type="dxa" w:w="3312"/>
          </w:tcPr>
          <w:p>
            <w:r>
              <w:t>Correct tax postings</w:t>
            </w:r>
          </w:p>
        </w:tc>
      </w:tr>
      <w:tr>
        <w:tc>
          <w:tcPr>
            <w:tcW w:type="dxa" w:w="3312"/>
          </w:tcPr>
          <w:p>
            <w:r>
              <w:t>Departments need cost reporting</w:t>
            </w:r>
          </w:p>
        </w:tc>
        <w:tc>
          <w:tcPr>
            <w:tcW w:type="dxa" w:w="3312"/>
          </w:tcPr>
          <w:p>
            <w:r>
              <w:t>Controlling area + cost centers</w:t>
            </w:r>
          </w:p>
        </w:tc>
        <w:tc>
          <w:tcPr>
            <w:tcW w:type="dxa" w:w="3312"/>
          </w:tcPr>
          <w:p>
            <w:r>
              <w:t>Internal cost analysis</w:t>
            </w:r>
          </w:p>
        </w:tc>
      </w:tr>
    </w:tbl>
    <w:p>
      <w:pPr>
        <w:pStyle w:val="Heading1"/>
      </w:pPr>
      <w:r>
        <w:t>3. Overall SAP FICO Configuration Roadmap</w:t>
      </w:r>
    </w:p>
    <w:p>
      <w:r>
        <w:t>1. Understand business requirements and prepare the organizational structure.</w:t>
      </w:r>
    </w:p>
    <w:p>
      <w:r>
        <w:t>2. Create/verify the company code and global FI settings.</w:t>
      </w:r>
    </w:p>
    <w:p>
      <w:r>
        <w:t>3. Define the fiscal year variant and posting period control.</w:t>
      </w:r>
    </w:p>
    <w:p>
      <w:r>
        <w:t>4. Define ledgers, currencies and accounting principles as required.</w:t>
      </w:r>
    </w:p>
    <w:p>
      <w:r>
        <w:t>5. Create/assign the chart of accounts and configure G/L account controls.</w:t>
      </w:r>
    </w:p>
    <w:p>
      <w:r>
        <w:t>6. Configure document types, number ranges, posting controls and field status.</w:t>
      </w:r>
    </w:p>
    <w:p>
      <w:r>
        <w:t>7. Configure taxes and automatic tax account determination.</w:t>
      </w:r>
    </w:p>
    <w:p>
      <w:r>
        <w:t>8. Configure Accounts Payable (AP) and Accounts Receivable (AR).</w:t>
      </w:r>
    </w:p>
    <w:p>
      <w:r>
        <w:t>9. Configure bank accounting, payment methods and payment program settings.</w:t>
      </w:r>
    </w:p>
    <w:p>
      <w:r>
        <w:t>10. Configure Asset Accounting (FI-AA).</w:t>
      </w:r>
    </w:p>
    <w:p>
      <w:r>
        <w:t>11. Configure Controlling (CO): controlling area, cost centers, profit centers, internal orders and allocations.</w:t>
      </w:r>
    </w:p>
    <w:p>
      <w:r>
        <w:t>12. Integrate FI/CO with MM and SD where the business process requires it.</w:t>
      </w:r>
    </w:p>
    <w:p>
      <w:r>
        <w:t>13. Create master data and opening balances/migration data.</w:t>
      </w:r>
    </w:p>
    <w:p>
      <w:r>
        <w:t>14. Test end-to-end transactions and reconcile FI with CO/subledgers.</w:t>
      </w:r>
    </w:p>
    <w:p>
      <w:r>
        <w:t>15. Document configuration, approvals and transport/change management.</w:t>
      </w:r>
    </w:p>
    <w:p>
      <w:pPr>
        <w:pStyle w:val="Heading1"/>
      </w:pPr>
      <w:r>
        <w:t>4. Prerequisites Before Configuration</w:t>
      </w:r>
    </w:p>
    <w:p>
      <w:pPr>
        <w:pStyle w:val="ListBullet"/>
      </w:pPr>
      <w:r>
        <w:t>Company legal entities and countries/regions.</w:t>
      </w:r>
    </w:p>
    <w:p>
      <w:pPr>
        <w:pStyle w:val="ListBullet"/>
      </w:pPr>
      <w:r>
        <w:t>Company codes, currencies and reporting requirements.</w:t>
      </w:r>
    </w:p>
    <w:p>
      <w:pPr>
        <w:pStyle w:val="ListBullet"/>
      </w:pPr>
      <w:r>
        <w:t>Fiscal year and posting-period requirements.</w:t>
      </w:r>
    </w:p>
    <w:p>
      <w:pPr>
        <w:pStyle w:val="ListBullet"/>
      </w:pPr>
      <w:r>
        <w:t>Chart of accounts and account numbering philosophy.</w:t>
      </w:r>
    </w:p>
    <w:p>
      <w:pPr>
        <w:pStyle w:val="ListBullet"/>
      </w:pPr>
      <w:r>
        <w:t>Financial statement structure and management reporting requirements.</w:t>
      </w:r>
    </w:p>
    <w:p>
      <w:pPr>
        <w:pStyle w:val="ListBullet"/>
      </w:pPr>
      <w:r>
        <w:t>Tax requirements, including applicable indirect taxes and withholding taxes.</w:t>
      </w:r>
    </w:p>
    <w:p>
      <w:pPr>
        <w:pStyle w:val="ListBullet"/>
      </w:pPr>
      <w:r>
        <w:t>Customer, supplier and Business Partner processes.</w:t>
      </w:r>
    </w:p>
    <w:p>
      <w:pPr>
        <w:pStyle w:val="ListBullet"/>
      </w:pPr>
      <w:r>
        <w:t>Bank accounts and payment methods.</w:t>
      </w:r>
    </w:p>
    <w:p>
      <w:pPr>
        <w:pStyle w:val="ListBullet"/>
      </w:pPr>
      <w:r>
        <w:t>Fixed asset categories and depreciation policies.</w:t>
      </w:r>
    </w:p>
    <w:p>
      <w:pPr>
        <w:pStyle w:val="ListBullet"/>
      </w:pPr>
      <w:r>
        <w:t>Cost-center, profit-center and internal-order structures.</w:t>
      </w:r>
    </w:p>
    <w:p>
      <w:pPr>
        <w:pStyle w:val="ListBullet"/>
      </w:pPr>
      <w:r>
        <w:t>Integration requirements with Materials Management (MM), Sales and Distribution (SD), and other modules.</w:t>
      </w:r>
    </w:p>
    <w:p>
      <w:pPr>
        <w:pStyle w:val="ListBullet"/>
      </w:pPr>
      <w:r>
        <w:t>Required approvals, authorizations, testing and transport strategy.</w:t>
      </w:r>
    </w:p>
    <w:p>
      <w:pPr>
        <w:pStyle w:val="Heading1"/>
      </w:pPr>
      <w:r>
        <w:t>5. Enterprise Structure and Company Code</w:t>
      </w:r>
    </w:p>
    <w:p>
      <w:pPr>
        <w:pStyle w:val="Heading2"/>
      </w:pPr>
      <w:r>
        <w:t>5.1 Company Code</w:t>
      </w:r>
    </w:p>
    <w:p>
      <w:r>
        <w:t>A company code is the key organizational unit for which SAP can produce a complete set of financial statements. In practical terms, it represents a legal accounting entity or reporting entity.</w:t>
      </w:r>
    </w:p>
    <w:p>
      <w:r>
        <w:t>Typical configuration sequence:</w:t>
      </w:r>
    </w:p>
    <w:p>
      <w:pPr>
        <w:pStyle w:val="ListNumber"/>
      </w:pPr>
      <w:r>
        <w:t>Define the company code and enter basic information such as name, country/region and currency.</w:t>
      </w:r>
    </w:p>
    <w:p>
      <w:pPr>
        <w:pStyle w:val="ListNumber"/>
      </w:pPr>
      <w:r>
        <w:t>Assign the company code to the relevant controlling area where CO is used.</w:t>
      </w:r>
    </w:p>
    <w:p>
      <w:pPr>
        <w:pStyle w:val="ListNumber"/>
      </w:pPr>
      <w:r>
        <w:t>Assign a chart of accounts.</w:t>
      </w:r>
    </w:p>
    <w:p>
      <w:pPr>
        <w:pStyle w:val="ListNumber"/>
      </w:pPr>
      <w:r>
        <w:t>Assign a fiscal year variant.</w:t>
      </w:r>
    </w:p>
    <w:p>
      <w:pPr>
        <w:pStyle w:val="ListNumber"/>
      </w:pPr>
      <w:r>
        <w:t>Assign a posting period variant.</w:t>
      </w:r>
    </w:p>
    <w:p>
      <w:pPr>
        <w:pStyle w:val="ListNumber"/>
      </w:pPr>
      <w:r>
        <w:t>Maintain relevant global parameters, ledgers and currencies.</w:t>
      </w:r>
    </w:p>
    <w:p>
      <w:pPr>
        <w:pStyle w:val="ListNumber"/>
      </w:pPr>
      <w:r>
        <w:t>Validate that tax, bank, asset and business-partner requirements are compatible.</w:t>
      </w:r>
    </w:p>
    <w:p>
      <w:r>
        <w:t>Learning reference: SAP defines a fiscal year variant and assigns it to company codes; posting-period control is handled separately.</w:t>
      </w:r>
    </w:p>
    <w:p>
      <w:pPr>
        <w:pStyle w:val="Heading2"/>
      </w:pPr>
      <w:r>
        <w:t>5.2 Company vs. Company Code</w:t>
      </w:r>
    </w:p>
    <w:p>
      <w:r>
        <w:t>A company can represent a group-level organizational concept, while the company code is the FI unit for which financial statements are generated. Beginners should not treat the two terms as interchangeable.</w:t>
      </w:r>
    </w:p>
    <w:p>
      <w:pPr>
        <w:pStyle w:val="Heading1"/>
      </w:pPr>
      <w:r>
        <w:t>6. Fiscal Year Variant and Posting Period Variant</w:t>
      </w:r>
    </w:p>
    <w:p>
      <w:pPr>
        <w:pStyle w:val="Heading2"/>
      </w:pPr>
      <w:r>
        <w:t>6.1 Fiscal Year Variant (FYV)</w:t>
      </w:r>
    </w:p>
    <w:p>
      <w:r>
        <w:t>The fiscal year variant defines how the fiscal year is divided into posting periods and special periods. SAP documentation states that a fiscal year can have up to 16 periods including special periods. The system derives the posting period from the posting date.</w:t>
      </w:r>
    </w:p>
    <w:p>
      <w:r>
        <w:t>Configuration logic:</w:t>
      </w:r>
    </w:p>
    <w:p>
      <w:pPr>
        <w:pStyle w:val="ListNumber"/>
      </w:pPr>
      <w:r>
        <w:t>Choose calendar-year or non-calendar fiscal year.</w:t>
      </w:r>
    </w:p>
    <w:p>
      <w:pPr>
        <w:pStyle w:val="ListNumber"/>
      </w:pPr>
      <w:r>
        <w:t>Define normal posting periods.</w:t>
      </w:r>
    </w:p>
    <w:p>
      <w:pPr>
        <w:pStyle w:val="ListNumber"/>
      </w:pPr>
      <w:r>
        <w:t>Define special periods for year-end closing, if required.</w:t>
      </w:r>
    </w:p>
    <w:p>
      <w:pPr>
        <w:pStyle w:val="ListNumber"/>
      </w:pPr>
      <w:r>
        <w:t>Assign the fiscal year variant to the relevant organizational structure.</w:t>
      </w:r>
    </w:p>
    <w:p>
      <w:pPr>
        <w:pStyle w:val="ListNumber"/>
      </w:pPr>
      <w:r>
        <w:t>Test postings around month-end, year-end and special periods.</w:t>
      </w:r>
    </w:p>
    <w:p>
      <w:pPr>
        <w:pStyle w:val="Heading2"/>
      </w:pPr>
      <w:r>
        <w:t>6.2 Posting Period Variant (PPV)</w:t>
      </w:r>
    </w:p>
    <w:p>
      <w:r>
        <w:t>A posting period variant controls which periods are open for posting. It is therefore different from the fiscal year variant: FYV defines the periods; PPV controls whether those periods are open or closed.</w:t>
      </w:r>
    </w:p>
    <w:p>
      <w:r>
        <w:t>Example: if August is open and July is closed, the posting period variant prevents ordinary postings dated in July.</w:t>
      </w:r>
    </w:p>
    <w:p>
      <w:r>
        <w:t>Important account types can be controlled separately. SAP documentation also describes a third interval used for postings involving Controlling. Periods therefore need to be tested for both FI and FI/CO-related postings.</w:t>
      </w:r>
    </w:p>
    <w:p>
      <w:pPr>
        <w:pStyle w:val="Heading1"/>
      </w:pPr>
      <w:r>
        <w:t>7. Ledgers, Accounting Principles and Currencies</w:t>
      </w:r>
    </w:p>
    <w:p>
      <w:r>
        <w:t>SAP S/4HANA uses the Universal Journal as the central source for financial and controlling postings. Ledger and currency design should be decided early because it affects reporting and valuation.</w:t>
      </w:r>
    </w:p>
    <w:p>
      <w:pPr>
        <w:pStyle w:val="ListNumber"/>
      </w:pPr>
      <w:r>
        <w:t>Define the leading ledger and any additional/non-leading ledgers required.</w:t>
      </w:r>
    </w:p>
    <w:p>
      <w:pPr>
        <w:pStyle w:val="ListNumber"/>
      </w:pPr>
      <w:r>
        <w:t>Determine accounting principles and reporting views.</w:t>
      </w:r>
    </w:p>
    <w:p>
      <w:pPr>
        <w:pStyle w:val="ListNumber"/>
      </w:pPr>
      <w:r>
        <w:t>Define company-code/local currency and any parallel currencies.</w:t>
      </w:r>
    </w:p>
    <w:p>
      <w:pPr>
        <w:pStyle w:val="ListNumber"/>
      </w:pPr>
      <w:r>
        <w:t>Validate exchange-rate types and exchange-rate maintenance requirements.</w:t>
      </w:r>
    </w:p>
    <w:p>
      <w:pPr>
        <w:pStyle w:val="ListNumber"/>
      </w:pPr>
      <w:r>
        <w:t>Test postings in document currency and ledger/company-code currencies.</w:t>
      </w:r>
    </w:p>
    <w:p>
      <w:r>
        <w:t>SAP explains that the document currency is recorded and that ledgers can manage multiple currency types. Currency design should therefore be aligned with legal and group reporting requirements.</w:t>
      </w:r>
    </w:p>
    <w:p>
      <w:pPr>
        <w:pStyle w:val="Heading1"/>
      </w:pPr>
      <w:r>
        <w:t>8. Chart of Accounts and G/L Configuration</w:t>
      </w:r>
    </w:p>
    <w:p>
      <w:pPr>
        <w:pStyle w:val="Heading2"/>
      </w:pPr>
      <w:r>
        <w:t>8.1 Chart of Accounts</w:t>
      </w:r>
    </w:p>
    <w:p>
      <w:r>
        <w:t>The chart of accounts is the structured list of G/L accounts used by one or more company codes. SAP notes that every company code must be assigned a chart of accounts and that one chart can be shared by multiple company codes.</w:t>
      </w:r>
    </w:p>
    <w:p>
      <w:r>
        <w:t>Configuration sequence:</w:t>
      </w:r>
    </w:p>
    <w:p>
      <w:pPr>
        <w:pStyle w:val="ListNumber"/>
      </w:pPr>
      <w:r>
        <w:t>Define or select the operating chart of accounts.</w:t>
      </w:r>
    </w:p>
    <w:p>
      <w:pPr>
        <w:pStyle w:val="ListNumber"/>
      </w:pPr>
      <w:r>
        <w:t>Assign it to company code(s).</w:t>
      </w:r>
    </w:p>
    <w:p>
      <w:pPr>
        <w:pStyle w:val="ListNumber"/>
      </w:pPr>
      <w:r>
        <w:t>Define account groups and number ranges.</w:t>
      </w:r>
    </w:p>
    <w:p>
      <w:pPr>
        <w:pStyle w:val="ListNumber"/>
      </w:pPr>
      <w:r>
        <w:t>Define G/L accounts and required control settings.</w:t>
      </w:r>
    </w:p>
    <w:p>
      <w:pPr>
        <w:pStyle w:val="ListNumber"/>
      </w:pPr>
      <w:r>
        <w:t>Configure retained earnings accounts for relevant P&amp;L accounts.</w:t>
      </w:r>
    </w:p>
    <w:p>
      <w:pPr>
        <w:pStyle w:val="ListNumber"/>
      </w:pPr>
      <w:r>
        <w:t>Configure field status and other account controls.</w:t>
      </w:r>
    </w:p>
    <w:p>
      <w:pPr>
        <w:pStyle w:val="ListNumber"/>
      </w:pPr>
      <w:r>
        <w:t>Validate financial statement mapping and reporting.</w:t>
      </w:r>
    </w:p>
    <w:p>
      <w:pPr>
        <w:pStyle w:val="Heading2"/>
      </w:pPr>
      <w:r>
        <w:t>8.2 G/L Account Master and Field Status</w:t>
      </w:r>
    </w:p>
    <w:p>
      <w:r>
        <w:t>Field status determines whether fields are suppressed, displayed, required or optional during postings. This prevents users from entering irrelevant information and ensures required account assignments are captured.</w:t>
      </w:r>
    </w:p>
    <w:p>
      <w:r>
        <w:t>Examples include cost center, profit center, assignment, text and other line-item fields. The exact field behavior depends on the combined configuration of the relevant account and posting controls.</w:t>
      </w:r>
    </w:p>
    <w:p>
      <w:pPr>
        <w:pStyle w:val="Heading1"/>
      </w:pPr>
      <w:r>
        <w:t>9. Document Types, Number Ranges and Posting Keys</w:t>
      </w:r>
    </w:p>
    <w:p>
      <w:r>
        <w:t>SAP uses the document principle: a business transaction is stored as a document, identified by document number, company code and fiscal year. Document types help classify transactions and control document-level behavior.</w:t>
      </w:r>
    </w:p>
    <w:p>
      <w:pPr>
        <w:pStyle w:val="ListNumber"/>
      </w:pPr>
      <w:r>
        <w:t>Review standard document types and identify which business processes they support.</w:t>
      </w:r>
    </w:p>
    <w:p>
      <w:pPr>
        <w:pStyle w:val="ListNumber"/>
      </w:pPr>
      <w:r>
        <w:t>Create or copy document types only where business requirements justify it.</w:t>
      </w:r>
    </w:p>
    <w:p>
      <w:pPr>
        <w:pStyle w:val="ListNumber"/>
      </w:pPr>
      <w:r>
        <w:t>Define document number ranges and decide internal or external numbering where supported.</w:t>
      </w:r>
    </w:p>
    <w:p>
      <w:pPr>
        <w:pStyle w:val="ListNumber"/>
      </w:pPr>
      <w:r>
        <w:t>Assign appropriate number ranges to document types.</w:t>
      </w:r>
    </w:p>
    <w:p>
      <w:pPr>
        <w:pStyle w:val="ListNumber"/>
      </w:pPr>
      <w:r>
        <w:t>Set reversal-document behavior where required.</w:t>
      </w:r>
    </w:p>
    <w:p>
      <w:pPr>
        <w:pStyle w:val="ListNumber"/>
      </w:pPr>
      <w:r>
        <w:t>Validate posting keys and field controls for G/L, customer, vendor and other account types.</w:t>
      </w:r>
    </w:p>
    <w:p>
      <w:r>
        <w:t>Common classic transaction-code references for learning include OBA7 (document types), FBN1 (FI document number ranges) and OB41 (posting keys). In S/4HANA Cloud, equivalent configuration activities/apps may be used instead.</w:t>
      </w:r>
    </w:p>
    <w:p>
      <w:pPr>
        <w:pStyle w:val="Heading1"/>
      </w:pPr>
      <w:r>
        <w:t>10. Tax Configuration</w:t>
      </w:r>
    </w:p>
    <w:p>
      <w:r>
        <w:t>Tax configuration allows SAP to calculate, validate and post taxes automatically. The configuration depends heavily on country-specific legal requirements.</w:t>
      </w:r>
    </w:p>
    <w:p>
      <w:r>
        <w:t>Typical sequence:</w:t>
      </w:r>
    </w:p>
    <w:p>
      <w:pPr>
        <w:pStyle w:val="ListNumber"/>
      </w:pPr>
      <w:r>
        <w:t>Confirm the country/region and applicable tax procedure.</w:t>
      </w:r>
    </w:p>
    <w:p>
      <w:pPr>
        <w:pStyle w:val="ListNumber"/>
      </w:pPr>
      <w:r>
        <w:t>Review or configure tax calculation procedure settings.</w:t>
      </w:r>
    </w:p>
    <w:p>
      <w:pPr>
        <w:pStyle w:val="ListNumber"/>
      </w:pPr>
      <w:r>
        <w:t>Define tax codes for purchases/input tax and sales/output tax as required.</w:t>
      </w:r>
    </w:p>
    <w:p>
      <w:pPr>
        <w:pStyle w:val="ListNumber"/>
      </w:pPr>
      <w:r>
        <w:t>Configure tax categories on relevant G/L accounts.</w:t>
      </w:r>
    </w:p>
    <w:p>
      <w:pPr>
        <w:pStyle w:val="ListNumber"/>
      </w:pPr>
      <w:r>
        <w:t>Assign tax accounts for automatic postings.</w:t>
      </w:r>
    </w:p>
    <w:p>
      <w:pPr>
        <w:pStyle w:val="ListNumber"/>
      </w:pPr>
      <w:r>
        <w:t>Test taxable, exempt, zero-rated and adjustment scenarios.</w:t>
      </w:r>
    </w:p>
    <w:p>
      <w:pPr>
        <w:pStyle w:val="ListNumber"/>
      </w:pPr>
      <w:r>
        <w:t>Validate tax reporting and reconciliation with statutory requirements.</w:t>
      </w:r>
    </w:p>
    <w:p>
      <w:r>
        <w:t>For India, tax design should be aligned with the applicable GST requirements and SAP localization/content available in the specific S/4HANA deployment. Do not copy another country's tax procedure without validating local legal requirements.</w:t>
      </w:r>
    </w:p>
    <w:p>
      <w:pPr>
        <w:pStyle w:val="Heading1"/>
      </w:pPr>
      <w:r>
        <w:t>11. Accounts Payable (AP)</w:t>
      </w:r>
    </w:p>
    <w:p>
      <w:r>
        <w:t>Accounts Payable manages amounts owed to suppliers. In S/4HANA, suppliers are generally represented through Business Partner master data with supplier roles.</w:t>
      </w:r>
    </w:p>
    <w:p>
      <w:pPr>
        <w:pStyle w:val="ListNumber"/>
      </w:pPr>
      <w:r>
        <w:t>Configure supplier/business-partner integration and required roles.</w:t>
      </w:r>
    </w:p>
    <w:p>
      <w:pPr>
        <w:pStyle w:val="ListNumber"/>
      </w:pPr>
      <w:r>
        <w:t>Define supplier account groups and relevant number ranges.</w:t>
      </w:r>
    </w:p>
    <w:p>
      <w:pPr>
        <w:pStyle w:val="ListNumber"/>
      </w:pPr>
      <w:r>
        <w:t>Configure reconciliation accounts linking supplier subledger to the G/L.</w:t>
      </w:r>
    </w:p>
    <w:p>
      <w:pPr>
        <w:pStyle w:val="ListNumber"/>
      </w:pPr>
      <w:r>
        <w:t>Configure payment terms, including due dates and cash-discount rules.</w:t>
      </w:r>
    </w:p>
    <w:p>
      <w:pPr>
        <w:pStyle w:val="ListNumber"/>
      </w:pPr>
      <w:r>
        <w:t>Configure payment methods and payment program settings.</w:t>
      </w:r>
    </w:p>
    <w:p>
      <w:pPr>
        <w:pStyle w:val="ListNumber"/>
      </w:pPr>
      <w:r>
        <w:t>Configure withholding tax where applicable.</w:t>
      </w:r>
    </w:p>
    <w:p>
      <w:pPr>
        <w:pStyle w:val="ListNumber"/>
      </w:pPr>
      <w:r>
        <w:t>Configure invoice/payment tolerances and clearing rules where required.</w:t>
      </w:r>
    </w:p>
    <w:p>
      <w:pPr>
        <w:pStyle w:val="ListNumber"/>
      </w:pPr>
      <w:r>
        <w:t>Test supplier invoice, payment, clearing, reversal and reporting scenarios.</w:t>
      </w:r>
    </w:p>
    <w:p>
      <w:r>
        <w:t>Payment terms determine due dates and potential cash discounts. SAP states that payment terms can be stored in Business Partner master data and used as defaults during transaction posting.</w:t>
      </w:r>
    </w:p>
    <w:p>
      <w:pPr>
        <w:pStyle w:val="Heading1"/>
      </w:pPr>
      <w:r>
        <w:t>12. Accounts Receivable (AR)</w:t>
      </w:r>
    </w:p>
    <w:p>
      <w:r>
        <w:t>Accounts Receivable manages amounts owed by customers. Customer accounting is integrated with the G/L through reconciliation accounts.</w:t>
      </w:r>
    </w:p>
    <w:p>
      <w:pPr>
        <w:pStyle w:val="ListNumber"/>
      </w:pPr>
      <w:r>
        <w:t>Configure customer/business-partner roles and account groups.</w:t>
      </w:r>
    </w:p>
    <w:p>
      <w:pPr>
        <w:pStyle w:val="ListNumber"/>
      </w:pPr>
      <w:r>
        <w:t>Configure customer reconciliation accounts.</w:t>
      </w:r>
    </w:p>
    <w:p>
      <w:pPr>
        <w:pStyle w:val="ListNumber"/>
      </w:pPr>
      <w:r>
        <w:t>Configure payment terms.</w:t>
      </w:r>
    </w:p>
    <w:p>
      <w:pPr>
        <w:pStyle w:val="ListNumber"/>
      </w:pPr>
      <w:r>
        <w:t>Configure incoming payment and clearing behavior.</w:t>
      </w:r>
    </w:p>
    <w:p>
      <w:pPr>
        <w:pStyle w:val="ListNumber"/>
      </w:pPr>
      <w:r>
        <w:t>Configure dunning procedures if required.</w:t>
      </w:r>
    </w:p>
    <w:p>
      <w:pPr>
        <w:pStyle w:val="ListNumber"/>
      </w:pPr>
      <w:r>
        <w:t>Configure credit-management integration where applicable.</w:t>
      </w:r>
    </w:p>
    <w:p>
      <w:pPr>
        <w:pStyle w:val="ListNumber"/>
      </w:pPr>
      <w:r>
        <w:t>Test customer invoice, receipt, clearing, residual/open-item and dunning scenarios.</w:t>
      </w:r>
    </w:p>
    <w:p>
      <w:r>
        <w:t>Dunning configuration defines how overdue receivables are followed up. The exact dunning process depends on the S/4HANA scope and deployment.</w:t>
      </w:r>
    </w:p>
    <w:p>
      <w:pPr>
        <w:pStyle w:val="Heading1"/>
      </w:pPr>
      <w:r>
        <w:t>13. Bank Accounting and Payments</w:t>
      </w:r>
    </w:p>
    <w:p>
      <w:r>
        <w:t>Bank configuration connects the company's bank accounts and payment processes with FI. It includes house banks, bank accounts, payment methods, clearing accounts and payment-program rules.</w:t>
      </w:r>
    </w:p>
    <w:p>
      <w:pPr>
        <w:pStyle w:val="ListNumber"/>
      </w:pPr>
      <w:r>
        <w:t>Define relevant house banks and bank accounts.</w:t>
      </w:r>
    </w:p>
    <w:p>
      <w:pPr>
        <w:pStyle w:val="ListNumber"/>
      </w:pPr>
      <w:r>
        <w:t>Create/assign G/L accounts for bank and clearing accounts.</w:t>
      </w:r>
    </w:p>
    <w:p>
      <w:pPr>
        <w:pStyle w:val="ListNumber"/>
      </w:pPr>
      <w:r>
        <w:t>Configure outgoing and incoming payment methods.</w:t>
      </w:r>
    </w:p>
    <w:p>
      <w:pPr>
        <w:pStyle w:val="ListNumber"/>
      </w:pPr>
      <w:r>
        <w:t>Configure payment program parameters and bank selection.</w:t>
      </w:r>
    </w:p>
    <w:p>
      <w:pPr>
        <w:pStyle w:val="ListNumber"/>
      </w:pPr>
      <w:r>
        <w:t>Define ranking order, available amounts and account determination where applicable.</w:t>
      </w:r>
    </w:p>
    <w:p>
      <w:pPr>
        <w:pStyle w:val="ListNumber"/>
      </w:pPr>
      <w:r>
        <w:t>Test payment proposals, payment execution, clearing and bank reconciliation.</w:t>
      </w:r>
    </w:p>
    <w:p>
      <w:pPr>
        <w:pStyle w:val="Heading1"/>
      </w:pPr>
      <w:r>
        <w:t>14. Asset Accounting (FI-AA)</w:t>
      </w:r>
    </w:p>
    <w:p>
      <w:r>
        <w:t>Asset Accounting manages fixed assets such as buildings, machinery, vehicles and equipment. Configuration connects asset master data, depreciation rules and G/L accounts.</w:t>
      </w:r>
    </w:p>
    <w:p>
      <w:pPr>
        <w:pStyle w:val="ListNumber"/>
      </w:pPr>
      <w:r>
        <w:t>Verify company-code prerequisites and assign an appropriate chart of depreciation.</w:t>
      </w:r>
    </w:p>
    <w:p>
      <w:pPr>
        <w:pStyle w:val="ListNumber"/>
      </w:pPr>
      <w:r>
        <w:t>Define depreciation areas for required valuation views.</w:t>
      </w:r>
    </w:p>
    <w:p>
      <w:pPr>
        <w:pStyle w:val="ListNumber"/>
      </w:pPr>
      <w:r>
        <w:t>Define asset classes.</w:t>
      </w:r>
    </w:p>
    <w:p>
      <w:pPr>
        <w:pStyle w:val="ListNumber"/>
      </w:pPr>
      <w:r>
        <w:t>Assign number ranges and screen layouts to asset classes.</w:t>
      </w:r>
    </w:p>
    <w:p>
      <w:pPr>
        <w:pStyle w:val="ListNumber"/>
      </w:pPr>
      <w:r>
        <w:t>Define account determination for acquisitions, depreciation, retirement and related transactions.</w:t>
      </w:r>
    </w:p>
    <w:p>
      <w:pPr>
        <w:pStyle w:val="ListNumber"/>
      </w:pPr>
      <w:r>
        <w:t>Define depreciation keys and useful-life/default depreciation parameters.</w:t>
      </w:r>
    </w:p>
    <w:p>
      <w:pPr>
        <w:pStyle w:val="ListNumber"/>
      </w:pPr>
      <w:r>
        <w:t>Specify how depreciation areas post to the G/L.</w:t>
      </w:r>
    </w:p>
    <w:p>
      <w:pPr>
        <w:pStyle w:val="ListNumber"/>
      </w:pPr>
      <w:r>
        <w:t>Test asset acquisition, depreciation, transfer, retirement and period-end posting.</w:t>
      </w:r>
    </w:p>
    <w:p>
      <w:r>
        <w:t>SAP documentation emphasizes that depreciation areas support different valuation purposes and that asset classes carry important control data such as account determination, number ranges and screen layouts.</w:t>
      </w:r>
    </w:p>
    <w:p>
      <w:pPr>
        <w:pStyle w:val="Heading1"/>
      </w:pPr>
      <w:r>
        <w:t>15. Controlling (CO) Configuration</w:t>
      </w:r>
    </w:p>
    <w:p>
      <w:r>
        <w:t>Controlling supports internal management accounting. The configuration should reflect how management wants to plan, allocate and analyze costs.</w:t>
      </w:r>
    </w:p>
    <w:p>
      <w:pPr>
        <w:pStyle w:val="Heading2"/>
      </w:pPr>
      <w:r>
        <w:t>15.1 Controlling Area</w:t>
      </w:r>
    </w:p>
    <w:p>
      <w:pPr>
        <w:pStyle w:val="ListNumber"/>
      </w:pPr>
      <w:r>
        <w:t>Define the controlling area and its basic organizational settings.</w:t>
      </w:r>
    </w:p>
    <w:p>
      <w:pPr>
        <w:pStyle w:val="ListNumber"/>
      </w:pPr>
      <w:r>
        <w:t>Assign compatible company codes.</w:t>
      </w:r>
    </w:p>
    <w:p>
      <w:pPr>
        <w:pStyle w:val="ListNumber"/>
      </w:pPr>
      <w:r>
        <w:t>Confirm fiscal year and chart-of-accounts compatibility.</w:t>
      </w:r>
    </w:p>
    <w:p>
      <w:pPr>
        <w:pStyle w:val="ListNumber"/>
      </w:pPr>
      <w:r>
        <w:t>Define the standard hierarchy required for cost-center management.</w:t>
      </w:r>
    </w:p>
    <w:p>
      <w:pPr>
        <w:pStyle w:val="Heading2"/>
      </w:pPr>
      <w:r>
        <w:t>15.2 Cost Center Accounting</w:t>
      </w:r>
    </w:p>
    <w:p>
      <w:r>
        <w:t>A cost center represents a location or organizational area where costs are incurred. The standard hierarchy groups cost centers according to responsibility and management structure.</w:t>
      </w:r>
    </w:p>
    <w:p>
      <w:pPr>
        <w:pStyle w:val="ListNumber"/>
      </w:pPr>
      <w:r>
        <w:t>Define the cost-center standard hierarchy.</w:t>
      </w:r>
    </w:p>
    <w:p>
      <w:pPr>
        <w:pStyle w:val="ListNumber"/>
      </w:pPr>
      <w:r>
        <w:t>Create cost-center groups.</w:t>
      </w:r>
    </w:p>
    <w:p>
      <w:pPr>
        <w:pStyle w:val="ListNumber"/>
      </w:pPr>
      <w:r>
        <w:t>Create cost centers with validity periods and responsible persons.</w:t>
      </w:r>
    </w:p>
    <w:p>
      <w:pPr>
        <w:pStyle w:val="ListNumber"/>
      </w:pPr>
      <w:r>
        <w:t>Configure cost-center categories and relevant master-data controls.</w:t>
      </w:r>
    </w:p>
    <w:p>
      <w:pPr>
        <w:pStyle w:val="ListNumber"/>
      </w:pPr>
      <w:r>
        <w:t>Configure planning and allocation methods as required.</w:t>
      </w:r>
    </w:p>
    <w:p>
      <w:pPr>
        <w:pStyle w:val="ListNumber"/>
      </w:pPr>
      <w:r>
        <w:t>Test primary cost postings, allocations and reporting.</w:t>
      </w:r>
    </w:p>
    <w:p>
      <w:pPr>
        <w:pStyle w:val="Heading2"/>
      </w:pPr>
      <w:r>
        <w:t>15.3 Profit Center Accounting</w:t>
      </w:r>
    </w:p>
    <w:p>
      <w:r>
        <w:t>Profit centers support responsibility reporting for revenues, costs and profitability. A profit center standard hierarchy organizes profit centers within the controlling area.</w:t>
      </w:r>
    </w:p>
    <w:p>
      <w:pPr>
        <w:pStyle w:val="ListNumber"/>
      </w:pPr>
      <w:r>
        <w:t>Define the profit-center standard hierarchy.</w:t>
      </w:r>
    </w:p>
    <w:p>
      <w:pPr>
        <w:pStyle w:val="ListNumber"/>
      </w:pPr>
      <w:r>
        <w:t>Build hierarchy nodes according to business responsibility.</w:t>
      </w:r>
    </w:p>
    <w:p>
      <w:pPr>
        <w:pStyle w:val="ListNumber"/>
      </w:pPr>
      <w:r>
        <w:t>Create profit centers.</w:t>
      </w:r>
    </w:p>
    <w:p>
      <w:pPr>
        <w:pStyle w:val="ListNumber"/>
      </w:pPr>
      <w:r>
        <w:t>Assign relevant objects/processes to profit centers.</w:t>
      </w:r>
    </w:p>
    <w:p>
      <w:pPr>
        <w:pStyle w:val="ListNumber"/>
      </w:pPr>
      <w:r>
        <w:t>Test postings and profit-center reporting.</w:t>
      </w:r>
    </w:p>
    <w:p>
      <w:pPr>
        <w:pStyle w:val="Heading2"/>
      </w:pPr>
      <w:r>
        <w:t>15.4 Internal Orders</w:t>
      </w:r>
    </w:p>
    <w:p>
      <w:r>
        <w:t>Internal orders are useful for temporary or specific cost/revenue collection, such as marketing campaigns, events, maintenance jobs or projects.</w:t>
      </w:r>
    </w:p>
    <w:p>
      <w:pPr>
        <w:pStyle w:val="ListNumber"/>
      </w:pPr>
      <w:r>
        <w:t>Define internal-order types.</w:t>
      </w:r>
    </w:p>
    <w:p>
      <w:pPr>
        <w:pStyle w:val="ListNumber"/>
      </w:pPr>
      <w:r>
        <w:t>Define number ranges.</w:t>
      </w:r>
    </w:p>
    <w:p>
      <w:pPr>
        <w:pStyle w:val="ListNumber"/>
      </w:pPr>
      <w:r>
        <w:t>Configure status/profile controls.</w:t>
      </w:r>
    </w:p>
    <w:p>
      <w:pPr>
        <w:pStyle w:val="ListNumber"/>
      </w:pPr>
      <w:r>
        <w:t>Define settlement rules where required.</w:t>
      </w:r>
    </w:p>
    <w:p>
      <w:pPr>
        <w:pStyle w:val="ListNumber"/>
      </w:pPr>
      <w:r>
        <w:t>Create and test internal orders.</w:t>
      </w:r>
    </w:p>
    <w:p>
      <w:pPr>
        <w:pStyle w:val="ListNumber"/>
      </w:pPr>
      <w:r>
        <w:t>Test postings, settlement and reporting.</w:t>
      </w:r>
    </w:p>
    <w:p>
      <w:pPr>
        <w:pStyle w:val="Heading1"/>
      </w:pPr>
      <w:r>
        <w:t>16. FI-MM and FI-SD Integration</w:t>
      </w:r>
    </w:p>
    <w:p>
      <w:r>
        <w:t>FICO configuration does not operate in isolation. In an integrated S/4HANA system, logistics transactions can automatically create FI postings.</w:t>
      </w:r>
    </w:p>
    <w:p>
      <w:pPr>
        <w:pStyle w:val="Heading2"/>
      </w:pPr>
      <w:r>
        <w:t>16.1 FI-MM Example</w:t>
      </w:r>
    </w:p>
    <w:p>
      <w:r>
        <w:t>A procurement process may move from purchase requisition/purchase order to goods receipt and supplier invoice. The accounting impact can include inventory or expense, GR/IR and supplier reconciliation accounts. Automatic account determination must therefore be aligned.</w:t>
      </w:r>
    </w:p>
    <w:p>
      <w:pPr>
        <w:pStyle w:val="Heading2"/>
      </w:pPr>
      <w:r>
        <w:t>16.2 FI-SD Example</w:t>
      </w:r>
    </w:p>
    <w:p>
      <w:r>
        <w:t>A sales process can generate revenue, receivables and tax postings when billing is transferred to accounting. Revenue and tax account determination must be configured consistently with the company's chart of accounts and tax design.</w:t>
      </w:r>
    </w:p>
    <w:p>
      <w:pPr>
        <w:pStyle w:val="Heading1"/>
      </w:pPr>
      <w:r>
        <w:t>17. Master Data Required After Configuration</w:t>
      </w:r>
    </w:p>
    <w:p>
      <w:pPr>
        <w:pStyle w:val="ListBullet"/>
      </w:pPr>
      <w:r>
        <w:t>G/L accounts</w:t>
      </w:r>
    </w:p>
    <w:p>
      <w:pPr>
        <w:pStyle w:val="ListBullet"/>
      </w:pPr>
      <w:r>
        <w:t>Business Partners with customer/supplier roles</w:t>
      </w:r>
    </w:p>
    <w:p>
      <w:pPr>
        <w:pStyle w:val="ListBullet"/>
      </w:pPr>
      <w:r>
        <w:t>Bank accounts and house banks</w:t>
      </w:r>
    </w:p>
    <w:p>
      <w:pPr>
        <w:pStyle w:val="ListBullet"/>
      </w:pPr>
      <w:r>
        <w:t>Fixed assets and asset classes</w:t>
      </w:r>
    </w:p>
    <w:p>
      <w:pPr>
        <w:pStyle w:val="ListBullet"/>
      </w:pPr>
      <w:r>
        <w:t>Cost centers and cost-center groups</w:t>
      </w:r>
    </w:p>
    <w:p>
      <w:pPr>
        <w:pStyle w:val="ListBullet"/>
      </w:pPr>
      <w:r>
        <w:t>Profit centers and hierarchy</w:t>
      </w:r>
    </w:p>
    <w:p>
      <w:pPr>
        <w:pStyle w:val="ListBullet"/>
      </w:pPr>
      <w:r>
        <w:t>Internal orders</w:t>
      </w:r>
    </w:p>
    <w:p>
      <w:pPr>
        <w:pStyle w:val="ListBullet"/>
      </w:pPr>
      <w:r>
        <w:t>Tax codes</w:t>
      </w:r>
    </w:p>
    <w:p>
      <w:pPr>
        <w:pStyle w:val="ListBullet"/>
      </w:pPr>
      <w:r>
        <w:t>Payment terms</w:t>
      </w:r>
    </w:p>
    <w:p>
      <w:pPr>
        <w:pStyle w:val="ListBullet"/>
      </w:pPr>
      <w:r>
        <w:t>Exchange rates</w:t>
      </w:r>
    </w:p>
    <w:p>
      <w:pPr>
        <w:pStyle w:val="ListBullet"/>
      </w:pPr>
      <w:r>
        <w:t>Financial statement/reporting structures</w:t>
      </w:r>
    </w:p>
    <w:p>
      <w:pPr>
        <w:pStyle w:val="Heading1"/>
      </w:pPr>
      <w:r>
        <w:t>18. End-to-End Testing Strategy</w:t>
      </w:r>
    </w:p>
    <w:p>
      <w:r>
        <w:t>Configuration is not complete when settings are saved; it is complete when business processes work correctly and reconcile.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w:t>
            </w:r>
          </w:p>
        </w:tc>
        <w:tc>
          <w:tcPr>
            <w:tcW w:type="dxa" w:w="2484"/>
          </w:tcPr>
          <w:p>
            <w:r>
              <w:t>Example</w:t>
            </w:r>
          </w:p>
        </w:tc>
        <w:tc>
          <w:tcPr>
            <w:tcW w:type="dxa" w:w="2484"/>
          </w:tcPr>
          <w:p>
            <w:r>
              <w:t>Expected Result</w:t>
            </w:r>
          </w:p>
        </w:tc>
        <w:tc>
          <w:tcPr>
            <w:tcW w:type="dxa" w:w="2484"/>
          </w:tcPr>
          <w:p>
            <w:r>
              <w:t>Key Check</w:t>
            </w:r>
          </w:p>
        </w:tc>
      </w:tr>
      <w:tr>
        <w:tc>
          <w:tcPr>
            <w:tcW w:type="dxa" w:w="2484"/>
          </w:tcPr>
          <w:p>
            <w:r>
              <w:t>G/L posting</w:t>
            </w:r>
          </w:p>
        </w:tc>
        <w:tc>
          <w:tcPr>
            <w:tcW w:type="dxa" w:w="2484"/>
          </w:tcPr>
          <w:p>
            <w:r>
              <w:t>Debit expense / credit bank</w:t>
            </w:r>
          </w:p>
        </w:tc>
        <w:tc>
          <w:tcPr>
            <w:tcW w:type="dxa" w:w="2484"/>
          </w:tcPr>
          <w:p>
            <w:r>
              <w:t>Document posts</w:t>
            </w:r>
          </w:p>
        </w:tc>
        <w:tc>
          <w:tcPr>
            <w:tcW w:type="dxa" w:w="2484"/>
          </w:tcPr>
          <w:p>
            <w:r>
              <w:t>Correct accounts and period</w:t>
            </w:r>
          </w:p>
        </w:tc>
      </w:tr>
      <w:tr>
        <w:tc>
          <w:tcPr>
            <w:tcW w:type="dxa" w:w="2484"/>
          </w:tcPr>
          <w:p>
            <w:r>
              <w:t>Supplier invoice</w:t>
            </w:r>
          </w:p>
        </w:tc>
        <w:tc>
          <w:tcPr>
            <w:tcW w:type="dxa" w:w="2484"/>
          </w:tcPr>
          <w:p>
            <w:r>
              <w:t>Expense + tax / supplier</w:t>
            </w:r>
          </w:p>
        </w:tc>
        <w:tc>
          <w:tcPr>
            <w:tcW w:type="dxa" w:w="2484"/>
          </w:tcPr>
          <w:p>
            <w:r>
              <w:t>AP open item created</w:t>
            </w:r>
          </w:p>
        </w:tc>
        <w:tc>
          <w:tcPr>
            <w:tcW w:type="dxa" w:w="2484"/>
          </w:tcPr>
          <w:p>
            <w:r>
              <w:t>Tax + reconciliation account</w:t>
            </w:r>
          </w:p>
        </w:tc>
      </w:tr>
      <w:tr>
        <w:tc>
          <w:tcPr>
            <w:tcW w:type="dxa" w:w="2484"/>
          </w:tcPr>
          <w:p>
            <w:r>
              <w:t>Customer invoice</w:t>
            </w:r>
          </w:p>
        </w:tc>
        <w:tc>
          <w:tcPr>
            <w:tcW w:type="dxa" w:w="2484"/>
          </w:tcPr>
          <w:p>
            <w:r>
              <w:t>Customer / revenue + tax</w:t>
            </w:r>
          </w:p>
        </w:tc>
        <w:tc>
          <w:tcPr>
            <w:tcW w:type="dxa" w:w="2484"/>
          </w:tcPr>
          <w:p>
            <w:r>
              <w:t>AR open item created</w:t>
            </w:r>
          </w:p>
        </w:tc>
        <w:tc>
          <w:tcPr>
            <w:tcW w:type="dxa" w:w="2484"/>
          </w:tcPr>
          <w:p>
            <w:r>
              <w:t>Revenue + tax</w:t>
            </w:r>
          </w:p>
        </w:tc>
      </w:tr>
      <w:tr>
        <w:tc>
          <w:tcPr>
            <w:tcW w:type="dxa" w:w="2484"/>
          </w:tcPr>
          <w:p>
            <w:r>
              <w:t>Incoming payment</w:t>
            </w:r>
          </w:p>
        </w:tc>
        <w:tc>
          <w:tcPr>
            <w:tcW w:type="dxa" w:w="2484"/>
          </w:tcPr>
          <w:p>
            <w:r>
              <w:t>Bank / customer</w:t>
            </w:r>
          </w:p>
        </w:tc>
        <w:tc>
          <w:tcPr>
            <w:tcW w:type="dxa" w:w="2484"/>
          </w:tcPr>
          <w:p>
            <w:r>
              <w:t>Customer cleared</w:t>
            </w:r>
          </w:p>
        </w:tc>
        <w:tc>
          <w:tcPr>
            <w:tcW w:type="dxa" w:w="2484"/>
          </w:tcPr>
          <w:p>
            <w:r>
              <w:t>Open item cleared</w:t>
            </w:r>
          </w:p>
        </w:tc>
      </w:tr>
      <w:tr>
        <w:tc>
          <w:tcPr>
            <w:tcW w:type="dxa" w:w="2484"/>
          </w:tcPr>
          <w:p>
            <w:r>
              <w:t>Asset acquisition</w:t>
            </w:r>
          </w:p>
        </w:tc>
        <w:tc>
          <w:tcPr>
            <w:tcW w:type="dxa" w:w="2484"/>
          </w:tcPr>
          <w:p>
            <w:r>
              <w:t>Asset / supplier</w:t>
            </w:r>
          </w:p>
        </w:tc>
        <w:tc>
          <w:tcPr>
            <w:tcW w:type="dxa" w:w="2484"/>
          </w:tcPr>
          <w:p>
            <w:r>
              <w:t>Asset value updated</w:t>
            </w:r>
          </w:p>
        </w:tc>
        <w:tc>
          <w:tcPr>
            <w:tcW w:type="dxa" w:w="2484"/>
          </w:tcPr>
          <w:p>
            <w:r>
              <w:t>Correct asset class/account</w:t>
            </w:r>
          </w:p>
        </w:tc>
      </w:tr>
      <w:tr>
        <w:tc>
          <w:tcPr>
            <w:tcW w:type="dxa" w:w="2484"/>
          </w:tcPr>
          <w:p>
            <w:r>
              <w:t>Depreciation</w:t>
            </w:r>
          </w:p>
        </w:tc>
        <w:tc>
          <w:tcPr>
            <w:tcW w:type="dxa" w:w="2484"/>
          </w:tcPr>
          <w:p>
            <w:r>
              <w:t>Depreciation expense / accumulated depreciation</w:t>
            </w:r>
          </w:p>
        </w:tc>
        <w:tc>
          <w:tcPr>
            <w:tcW w:type="dxa" w:w="2484"/>
          </w:tcPr>
          <w:p>
            <w:r>
              <w:t>FI/CO updated</w:t>
            </w:r>
          </w:p>
        </w:tc>
        <w:tc>
          <w:tcPr>
            <w:tcW w:type="dxa" w:w="2484"/>
          </w:tcPr>
          <w:p>
            <w:r>
              <w:t>Correct depreciation</w:t>
            </w:r>
          </w:p>
        </w:tc>
      </w:tr>
      <w:tr>
        <w:tc>
          <w:tcPr>
            <w:tcW w:type="dxa" w:w="2484"/>
          </w:tcPr>
          <w:p>
            <w:r>
              <w:t>CO posting</w:t>
            </w:r>
          </w:p>
        </w:tc>
        <w:tc>
          <w:tcPr>
            <w:tcW w:type="dxa" w:w="2484"/>
          </w:tcPr>
          <w:p>
            <w:r>
              <w:t>Expense to cost center</w:t>
            </w:r>
          </w:p>
        </w:tc>
        <w:tc>
          <w:tcPr>
            <w:tcW w:type="dxa" w:w="2484"/>
          </w:tcPr>
          <w:p>
            <w:r>
              <w:t>Cost center updated</w:t>
            </w:r>
          </w:p>
        </w:tc>
        <w:tc>
          <w:tcPr>
            <w:tcW w:type="dxa" w:w="2484"/>
          </w:tcPr>
          <w:p>
            <w:r>
              <w:t>Correct CO assignment</w:t>
            </w:r>
          </w:p>
        </w:tc>
      </w:tr>
      <w:tr>
        <w:tc>
          <w:tcPr>
            <w:tcW w:type="dxa" w:w="2484"/>
          </w:tcPr>
          <w:p>
            <w:r>
              <w:t>Period close</w:t>
            </w:r>
          </w:p>
        </w:tc>
        <w:tc>
          <w:tcPr>
            <w:tcW w:type="dxa" w:w="2484"/>
          </w:tcPr>
          <w:p>
            <w:r>
              <w:t>Close month</w:t>
            </w:r>
          </w:p>
        </w:tc>
        <w:tc>
          <w:tcPr>
            <w:tcW w:type="dxa" w:w="2484"/>
          </w:tcPr>
          <w:p>
            <w:r>
              <w:t>Posting blocked as designed</w:t>
            </w:r>
          </w:p>
        </w:tc>
        <w:tc>
          <w:tcPr>
            <w:tcW w:type="dxa" w:w="2484"/>
          </w:tcPr>
          <w:p>
            <w:r>
              <w:t>FI/CO period status</w:t>
            </w:r>
          </w:p>
        </w:tc>
      </w:tr>
    </w:tbl>
    <w:p>
      <w:pPr>
        <w:pStyle w:val="Heading1"/>
      </w:pPr>
      <w:r>
        <w:t>19. Common Configuration Errors and How to Diagnose Them</w:t>
      </w:r>
    </w:p>
    <w:tbl>
      <w:tblPr>
        <w:tblStyle w:val="LightShading-Accent1"/>
        <w:tblW w:type="auto" w:w="0"/>
        <w:tblLook w:firstColumn="1" w:firstRow="1" w:lastColumn="0" w:lastRow="0" w:noHBand="0" w:noVBand="1" w:val="04A0"/>
      </w:tblPr>
      <w:tblGrid>
        <w:gridCol w:w="4968"/>
        <w:gridCol w:w="4968"/>
      </w:tblGrid>
      <w:tr>
        <w:tc>
          <w:tcPr>
            <w:tcW w:type="dxa" w:w="4968"/>
          </w:tcPr>
          <w:p>
            <w:r>
              <w:t>Problem</w:t>
            </w:r>
          </w:p>
        </w:tc>
        <w:tc>
          <w:tcPr>
            <w:tcW w:type="dxa" w:w="4968"/>
          </w:tcPr>
          <w:p>
            <w:r>
              <w:t>Diagnostic Approach</w:t>
            </w:r>
          </w:p>
        </w:tc>
      </w:tr>
      <w:tr>
        <w:tc>
          <w:tcPr>
            <w:tcW w:type="dxa" w:w="4968"/>
          </w:tcPr>
          <w:p>
            <w:r>
              <w:t>Posting period closed</w:t>
            </w:r>
          </w:p>
        </w:tc>
        <w:tc>
          <w:tcPr>
            <w:tcW w:type="dxa" w:w="4968"/>
          </w:tcPr>
          <w:p>
            <w:r>
              <w:t>Check fiscal year variant and posting period variant; confirm correct posting date and account-type interval.</w:t>
            </w:r>
          </w:p>
        </w:tc>
      </w:tr>
      <w:tr>
        <w:tc>
          <w:tcPr>
            <w:tcW w:type="dxa" w:w="4968"/>
          </w:tcPr>
          <w:p>
            <w:r>
              <w:t>G/L account cannot be posted</w:t>
            </w:r>
          </w:p>
        </w:tc>
        <w:tc>
          <w:tcPr>
            <w:tcW w:type="dxa" w:w="4968"/>
          </w:tcPr>
          <w:p>
            <w:r>
              <w:t>Check account existence, company-code segment, field status, tax category and posting authorization.</w:t>
            </w:r>
          </w:p>
        </w:tc>
      </w:tr>
      <w:tr>
        <w:tc>
          <w:tcPr>
            <w:tcW w:type="dxa" w:w="4968"/>
          </w:tcPr>
          <w:p>
            <w:r>
              <w:t>Tax not calculated</w:t>
            </w:r>
          </w:p>
        </w:tc>
        <w:tc>
          <w:tcPr>
            <w:tcW w:type="dxa" w:w="4968"/>
          </w:tcPr>
          <w:p>
            <w:r>
              <w:t>Check tax code, tax procedure, account tax category and country/company-code settings.</w:t>
            </w:r>
          </w:p>
        </w:tc>
      </w:tr>
      <w:tr>
        <w:tc>
          <w:tcPr>
            <w:tcW w:type="dxa" w:w="4968"/>
          </w:tcPr>
          <w:p>
            <w:r>
              <w:t>Supplier/customer posting fails</w:t>
            </w:r>
          </w:p>
        </w:tc>
        <w:tc>
          <w:tcPr>
            <w:tcW w:type="dxa" w:w="4968"/>
          </w:tcPr>
          <w:p>
            <w:r>
              <w:t>Check Business Partner role, reconciliation account and company-code data.</w:t>
            </w:r>
          </w:p>
        </w:tc>
      </w:tr>
      <w:tr>
        <w:tc>
          <w:tcPr>
            <w:tcW w:type="dxa" w:w="4968"/>
          </w:tcPr>
          <w:p>
            <w:r>
              <w:t>Payment cannot be generated</w:t>
            </w:r>
          </w:p>
        </w:tc>
        <w:tc>
          <w:tcPr>
            <w:tcW w:type="dxa" w:w="4968"/>
          </w:tcPr>
          <w:p>
            <w:r>
              <w:t>Check payment method, payment terms, bank selection, ranking order and available funds.</w:t>
            </w:r>
          </w:p>
        </w:tc>
      </w:tr>
      <w:tr>
        <w:tc>
          <w:tcPr>
            <w:tcW w:type="dxa" w:w="4968"/>
          </w:tcPr>
          <w:p>
            <w:r>
              <w:t>Asset depreciation incorrect</w:t>
            </w:r>
          </w:p>
        </w:tc>
        <w:tc>
          <w:tcPr>
            <w:tcW w:type="dxa" w:w="4968"/>
          </w:tcPr>
          <w:p>
            <w:r>
              <w:t>Check asset class, depreciation area, depreciation key, useful life and account determination.</w:t>
            </w:r>
          </w:p>
        </w:tc>
      </w:tr>
      <w:tr>
        <w:tc>
          <w:tcPr>
            <w:tcW w:type="dxa" w:w="4968"/>
          </w:tcPr>
          <w:p>
            <w:r>
              <w:t>CO assignment missing</w:t>
            </w:r>
          </w:p>
        </w:tc>
        <w:tc>
          <w:tcPr>
            <w:tcW w:type="dxa" w:w="4968"/>
          </w:tcPr>
          <w:p>
            <w:r>
              <w:t>Check whether the G/L account requires a CO object and whether the cost center/profit center/internal order is valid.</w:t>
            </w:r>
          </w:p>
        </w:tc>
      </w:tr>
      <w:tr>
        <w:tc>
          <w:tcPr>
            <w:tcW w:type="dxa" w:w="4968"/>
          </w:tcPr>
          <w:p>
            <w:r>
              <w:t>Integration posting hits wrong G/L</w:t>
            </w:r>
          </w:p>
        </w:tc>
        <w:tc>
          <w:tcPr>
            <w:tcW w:type="dxa" w:w="4968"/>
          </w:tcPr>
          <w:p>
            <w:r>
              <w:t>Review automatic account determination and the master/configuration data driving the account determination.</w:t>
            </w:r>
          </w:p>
        </w:tc>
      </w:tr>
    </w:tbl>
    <w:p>
      <w:pPr>
        <w:pStyle w:val="Heading1"/>
      </w:pPr>
      <w:r>
        <w:t>20. Beginner's Mental Model</w:t>
      </w:r>
    </w:p>
    <w:p>
      <w:r>
        <w:t>A simple way to understand FICO configuration is to ask five questions for every transaction:</w:t>
      </w:r>
    </w:p>
    <w:p>
      <w:pPr>
        <w:pStyle w:val="ListNumber"/>
      </w:pPr>
      <w:r>
        <w:t>WHERE is the transaction posted? → Company code / controlling area.</w:t>
      </w:r>
    </w:p>
    <w:p>
      <w:pPr>
        <w:pStyle w:val="ListNumber"/>
      </w:pPr>
      <w:r>
        <w:t>WHEN is it posted? → Fiscal year variant / posting period.</w:t>
      </w:r>
    </w:p>
    <w:p>
      <w:pPr>
        <w:pStyle w:val="ListNumber"/>
      </w:pPr>
      <w:r>
        <w:t>WHAT account is affected? → G/L, customer, supplier, asset and account determination.</w:t>
      </w:r>
    </w:p>
    <w:p>
      <w:pPr>
        <w:pStyle w:val="ListNumber"/>
      </w:pPr>
      <w:r>
        <w:t>HOW is it controlled? → Document type, number range, field status, tax, payment and authorization rules.</w:t>
      </w:r>
    </w:p>
    <w:p>
      <w:pPr>
        <w:pStyle w:val="ListNumber"/>
      </w:pPr>
      <w:r>
        <w:t>WHO/WHAT gets management responsibility? → Cost center, profit center, internal order and other CO objects.</w:t>
      </w:r>
    </w:p>
    <w:p>
      <w:pPr>
        <w:pStyle w:val="Heading1"/>
      </w:pPr>
      <w:r>
        <w:t>21. Suggested Configuration Workbook Structure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Section</w:t>
            </w:r>
          </w:p>
        </w:tc>
        <w:tc>
          <w:tcPr>
            <w:tcW w:type="dxa" w:w="2484"/>
          </w:tcPr>
          <w:p>
            <w:r>
              <w:t>Configuration Object</w:t>
            </w:r>
          </w:p>
        </w:tc>
        <w:tc>
          <w:tcPr>
            <w:tcW w:type="dxa" w:w="2484"/>
          </w:tcPr>
          <w:p>
            <w:r>
              <w:t>Owner</w:t>
            </w:r>
          </w:p>
        </w:tc>
        <w:tc>
          <w:tcPr>
            <w:tcW w:type="dxa" w:w="2484"/>
          </w:tcPr>
          <w:p>
            <w:r>
              <w:t>Status</w:t>
            </w:r>
          </w:p>
        </w:tc>
      </w:tr>
      <w:tr>
        <w:tc>
          <w:tcPr>
            <w:tcW w:type="dxa" w:w="2484"/>
          </w:tcPr>
          <w:p>
            <w:r>
              <w:t>Enterprise Structure</w:t>
            </w:r>
          </w:p>
        </w:tc>
        <w:tc>
          <w:tcPr>
            <w:tcW w:type="dxa" w:w="2484"/>
          </w:tcPr>
          <w:p>
            <w:r>
              <w:t>Company Code</w:t>
            </w:r>
          </w:p>
        </w:tc>
        <w:tc>
          <w:tcPr>
            <w:tcW w:type="dxa" w:w="2484"/>
          </w:tcPr>
          <w:p>
            <w:r>
              <w:t>FI Lead</w:t>
            </w:r>
          </w:p>
        </w:tc>
        <w:tc>
          <w:tcPr>
            <w:tcW w:type="dxa" w:w="2484"/>
          </w:tcPr>
          <w:p>
            <w:r>
              <w:t>Not Started</w:t>
            </w:r>
          </w:p>
        </w:tc>
      </w:tr>
      <w:tr>
        <w:tc>
          <w:tcPr>
            <w:tcW w:type="dxa" w:w="2484"/>
          </w:tcPr>
          <w:p>
            <w:r>
              <w:t>Core FI</w:t>
            </w:r>
          </w:p>
        </w:tc>
        <w:tc>
          <w:tcPr>
            <w:tcW w:type="dxa" w:w="2484"/>
          </w:tcPr>
          <w:p>
            <w:r>
              <w:t>Fiscal Year / Posting Period</w:t>
            </w:r>
          </w:p>
        </w:tc>
        <w:tc>
          <w:tcPr>
            <w:tcW w:type="dxa" w:w="2484"/>
          </w:tcPr>
          <w:p>
            <w:r>
              <w:t>FI Lead</w:t>
            </w:r>
          </w:p>
        </w:tc>
        <w:tc>
          <w:tcPr>
            <w:tcW w:type="dxa" w:w="2484"/>
          </w:tcPr>
          <w:p>
            <w:r>
              <w:t>Not Started</w:t>
            </w:r>
          </w:p>
        </w:tc>
      </w:tr>
      <w:tr>
        <w:tc>
          <w:tcPr>
            <w:tcW w:type="dxa" w:w="2484"/>
          </w:tcPr>
          <w:p>
            <w:r>
              <w:t>G/L</w:t>
            </w:r>
          </w:p>
        </w:tc>
        <w:tc>
          <w:tcPr>
            <w:tcW w:type="dxa" w:w="2484"/>
          </w:tcPr>
          <w:p>
            <w:r>
              <w:t>Chart of Accounts / Accounts</w:t>
            </w:r>
          </w:p>
        </w:tc>
        <w:tc>
          <w:tcPr>
            <w:tcW w:type="dxa" w:w="2484"/>
          </w:tcPr>
          <w:p>
            <w:r>
              <w:t>G/L Lead</w:t>
            </w:r>
          </w:p>
        </w:tc>
        <w:tc>
          <w:tcPr>
            <w:tcW w:type="dxa" w:w="2484"/>
          </w:tcPr>
          <w:p>
            <w:r>
              <w:t>Not Started</w:t>
            </w:r>
          </w:p>
        </w:tc>
      </w:tr>
      <w:tr>
        <w:tc>
          <w:tcPr>
            <w:tcW w:type="dxa" w:w="2484"/>
          </w:tcPr>
          <w:p>
            <w:r>
              <w:t>Tax</w:t>
            </w:r>
          </w:p>
        </w:tc>
        <w:tc>
          <w:tcPr>
            <w:tcW w:type="dxa" w:w="2484"/>
          </w:tcPr>
          <w:p>
            <w:r>
              <w:t>Tax Codes / Accounts</w:t>
            </w:r>
          </w:p>
        </w:tc>
        <w:tc>
          <w:tcPr>
            <w:tcW w:type="dxa" w:w="2484"/>
          </w:tcPr>
          <w:p>
            <w:r>
              <w:t>Tax + FI</w:t>
            </w:r>
          </w:p>
        </w:tc>
        <w:tc>
          <w:tcPr>
            <w:tcW w:type="dxa" w:w="2484"/>
          </w:tcPr>
          <w:p>
            <w:r>
              <w:t>Not Started</w:t>
            </w:r>
          </w:p>
        </w:tc>
      </w:tr>
      <w:tr>
        <w:tc>
          <w:tcPr>
            <w:tcW w:type="dxa" w:w="2484"/>
          </w:tcPr>
          <w:p>
            <w:r>
              <w:t>AP</w:t>
            </w:r>
          </w:p>
        </w:tc>
        <w:tc>
          <w:tcPr>
            <w:tcW w:type="dxa" w:w="2484"/>
          </w:tcPr>
          <w:p>
            <w:r>
              <w:t>Supplier / Payments</w:t>
            </w:r>
          </w:p>
        </w:tc>
        <w:tc>
          <w:tcPr>
            <w:tcW w:type="dxa" w:w="2484"/>
          </w:tcPr>
          <w:p>
            <w:r>
              <w:t>AP Lead</w:t>
            </w:r>
          </w:p>
        </w:tc>
        <w:tc>
          <w:tcPr>
            <w:tcW w:type="dxa" w:w="2484"/>
          </w:tcPr>
          <w:p>
            <w:r>
              <w:t>Not Started</w:t>
            </w:r>
          </w:p>
        </w:tc>
      </w:tr>
      <w:tr>
        <w:tc>
          <w:tcPr>
            <w:tcW w:type="dxa" w:w="2484"/>
          </w:tcPr>
          <w:p>
            <w:r>
              <w:t>AR</w:t>
            </w:r>
          </w:p>
        </w:tc>
        <w:tc>
          <w:tcPr>
            <w:tcW w:type="dxa" w:w="2484"/>
          </w:tcPr>
          <w:p>
            <w:r>
              <w:t>Customer / Dunning</w:t>
            </w:r>
          </w:p>
        </w:tc>
        <w:tc>
          <w:tcPr>
            <w:tcW w:type="dxa" w:w="2484"/>
          </w:tcPr>
          <w:p>
            <w:r>
              <w:t>AR Lead</w:t>
            </w:r>
          </w:p>
        </w:tc>
        <w:tc>
          <w:tcPr>
            <w:tcW w:type="dxa" w:w="2484"/>
          </w:tcPr>
          <w:p>
            <w:r>
              <w:t>Not Started</w:t>
            </w:r>
          </w:p>
        </w:tc>
      </w:tr>
      <w:tr>
        <w:tc>
          <w:tcPr>
            <w:tcW w:type="dxa" w:w="2484"/>
          </w:tcPr>
          <w:p>
            <w:r>
              <w:t>Bank</w:t>
            </w:r>
          </w:p>
        </w:tc>
        <w:tc>
          <w:tcPr>
            <w:tcW w:type="dxa" w:w="2484"/>
          </w:tcPr>
          <w:p>
            <w:r>
              <w:t>House Banks / Payment</w:t>
            </w:r>
          </w:p>
        </w:tc>
        <w:tc>
          <w:tcPr>
            <w:tcW w:type="dxa" w:w="2484"/>
          </w:tcPr>
          <w:p>
            <w:r>
              <w:t>Treasury + FI</w:t>
            </w:r>
          </w:p>
        </w:tc>
        <w:tc>
          <w:tcPr>
            <w:tcW w:type="dxa" w:w="2484"/>
          </w:tcPr>
          <w:p>
            <w:r>
              <w:t>Not Started</w:t>
            </w:r>
          </w:p>
        </w:tc>
      </w:tr>
      <w:tr>
        <w:tc>
          <w:tcPr>
            <w:tcW w:type="dxa" w:w="2484"/>
          </w:tcPr>
          <w:p>
            <w:r>
              <w:t>FI-AA</w:t>
            </w:r>
          </w:p>
        </w:tc>
        <w:tc>
          <w:tcPr>
            <w:tcW w:type="dxa" w:w="2484"/>
          </w:tcPr>
          <w:p>
            <w:r>
              <w:t>Asset Classes / Depreciation</w:t>
            </w:r>
          </w:p>
        </w:tc>
        <w:tc>
          <w:tcPr>
            <w:tcW w:type="dxa" w:w="2484"/>
          </w:tcPr>
          <w:p>
            <w:r>
              <w:t>Asset Lead</w:t>
            </w:r>
          </w:p>
        </w:tc>
        <w:tc>
          <w:tcPr>
            <w:tcW w:type="dxa" w:w="2484"/>
          </w:tcPr>
          <w:p>
            <w:r>
              <w:t>Not Started</w:t>
            </w:r>
          </w:p>
        </w:tc>
      </w:tr>
      <w:tr>
        <w:tc>
          <w:tcPr>
            <w:tcW w:type="dxa" w:w="2484"/>
          </w:tcPr>
          <w:p>
            <w:r>
              <w:t>CO</w:t>
            </w:r>
          </w:p>
        </w:tc>
        <w:tc>
          <w:tcPr>
            <w:tcW w:type="dxa" w:w="2484"/>
          </w:tcPr>
          <w:p>
            <w:r>
              <w:t>Cost Centers / Profit Centers</w:t>
            </w:r>
          </w:p>
        </w:tc>
        <w:tc>
          <w:tcPr>
            <w:tcW w:type="dxa" w:w="2484"/>
          </w:tcPr>
          <w:p>
            <w:r>
              <w:t>CO Lead</w:t>
            </w:r>
          </w:p>
        </w:tc>
        <w:tc>
          <w:tcPr>
            <w:tcW w:type="dxa" w:w="2484"/>
          </w:tcPr>
          <w:p>
            <w:r>
              <w:t>Not Started</w:t>
            </w:r>
          </w:p>
        </w:tc>
      </w:tr>
      <w:tr>
        <w:tc>
          <w:tcPr>
            <w:tcW w:type="dxa" w:w="2484"/>
          </w:tcPr>
          <w:p>
            <w:r>
              <w:t>Integration</w:t>
            </w:r>
          </w:p>
        </w:tc>
        <w:tc>
          <w:tcPr>
            <w:tcW w:type="dxa" w:w="2484"/>
          </w:tcPr>
          <w:p>
            <w:r>
              <w:t>MM / SD Account Determination</w:t>
            </w:r>
          </w:p>
        </w:tc>
        <w:tc>
          <w:tcPr>
            <w:tcW w:type="dxa" w:w="2484"/>
          </w:tcPr>
          <w:p>
            <w:r>
              <w:t>Cross-functional</w:t>
            </w:r>
          </w:p>
        </w:tc>
        <w:tc>
          <w:tcPr>
            <w:tcW w:type="dxa" w:w="2484"/>
          </w:tcPr>
          <w:p>
            <w:r>
              <w:t>Not Started</w:t>
            </w:r>
          </w:p>
        </w:tc>
      </w:tr>
      <w:tr>
        <w:tc>
          <w:tcPr>
            <w:tcW w:type="dxa" w:w="2484"/>
          </w:tcPr>
          <w:p>
            <w:r>
              <w:t>Testing</w:t>
            </w:r>
          </w:p>
        </w:tc>
        <w:tc>
          <w:tcPr>
            <w:tcW w:type="dxa" w:w="2484"/>
          </w:tcPr>
          <w:p>
            <w:r>
              <w:t>End-to-End Scenarios</w:t>
            </w:r>
          </w:p>
        </w:tc>
        <w:tc>
          <w:tcPr>
            <w:tcW w:type="dxa" w:w="2484"/>
          </w:tcPr>
          <w:p>
            <w:r>
              <w:t>Test Lead</w:t>
            </w:r>
          </w:p>
        </w:tc>
        <w:tc>
          <w:tcPr>
            <w:tcW w:type="dxa" w:w="2484"/>
          </w:tcPr>
          <w:p>
            <w:r>
              <w:t>Not Started</w:t>
            </w:r>
          </w:p>
        </w:tc>
      </w:tr>
    </w:tbl>
    <w:p>
      <w:pPr>
        <w:pStyle w:val="Heading1"/>
      </w:pPr>
      <w:r>
        <w:t>22. Important Classic Transaction-Code References</w:t>
      </w:r>
    </w:p>
    <w:p>
      <w:r>
        <w:t>The following are commonly encountered in SAP GUI/on-premise or private-edition learning environments. They are provided as orientation only; many S/4HANA Cloud Public Edition configuration tasks use configuration activities or Fiori apps instead.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Example T-code</w:t>
            </w:r>
          </w:p>
        </w:tc>
        <w:tc>
          <w:tcPr>
            <w:tcW w:type="dxa" w:w="3312"/>
          </w:tcPr>
          <w:p>
            <w:r>
              <w:t>Purpose / Learning Use</w:t>
            </w:r>
          </w:p>
        </w:tc>
      </w:tr>
      <w:tr>
        <w:tc>
          <w:tcPr>
            <w:tcW w:type="dxa" w:w="3312"/>
          </w:tcPr>
          <w:p>
            <w:r>
              <w:t>Company code / FI global settings</w:t>
            </w:r>
          </w:p>
        </w:tc>
        <w:tc>
          <w:tcPr>
            <w:tcW w:type="dxa" w:w="3312"/>
          </w:tcPr>
          <w:p>
            <w:r>
              <w:t>SPRO</w:t>
            </w:r>
          </w:p>
        </w:tc>
        <w:tc>
          <w:tcPr>
            <w:tcW w:type="dxa" w:w="3312"/>
          </w:tcPr>
          <w:p>
            <w:r>
              <w:t>Access Customizing</w:t>
            </w:r>
          </w:p>
        </w:tc>
      </w:tr>
      <w:tr>
        <w:tc>
          <w:tcPr>
            <w:tcW w:type="dxa" w:w="3312"/>
          </w:tcPr>
          <w:p>
            <w:r>
              <w:t>Document types</w:t>
            </w:r>
          </w:p>
        </w:tc>
        <w:tc>
          <w:tcPr>
            <w:tcW w:type="dxa" w:w="3312"/>
          </w:tcPr>
          <w:p>
            <w:r>
              <w:t>OBA7</w:t>
            </w:r>
          </w:p>
        </w:tc>
        <w:tc>
          <w:tcPr>
            <w:tcW w:type="dxa" w:w="3312"/>
          </w:tcPr>
          <w:p>
            <w:r>
              <w:t>Define document types</w:t>
            </w:r>
          </w:p>
        </w:tc>
      </w:tr>
      <w:tr>
        <w:tc>
          <w:tcPr>
            <w:tcW w:type="dxa" w:w="3312"/>
          </w:tcPr>
          <w:p>
            <w:r>
              <w:t>FI document number ranges</w:t>
            </w:r>
          </w:p>
        </w:tc>
        <w:tc>
          <w:tcPr>
            <w:tcW w:type="dxa" w:w="3312"/>
          </w:tcPr>
          <w:p>
            <w:r>
              <w:t>FBN1</w:t>
            </w:r>
          </w:p>
        </w:tc>
        <w:tc>
          <w:tcPr>
            <w:tcW w:type="dxa" w:w="3312"/>
          </w:tcPr>
          <w:p>
            <w:r>
              <w:t>Maintain document number ranges</w:t>
            </w:r>
          </w:p>
        </w:tc>
      </w:tr>
      <w:tr>
        <w:tc>
          <w:tcPr>
            <w:tcW w:type="dxa" w:w="3312"/>
          </w:tcPr>
          <w:p>
            <w:r>
              <w:t>Posting periods</w:t>
            </w:r>
          </w:p>
        </w:tc>
        <w:tc>
          <w:tcPr>
            <w:tcW w:type="dxa" w:w="3312"/>
          </w:tcPr>
          <w:p>
            <w:r>
              <w:t>OB52</w:t>
            </w:r>
          </w:p>
        </w:tc>
        <w:tc>
          <w:tcPr>
            <w:tcW w:type="dxa" w:w="3312"/>
          </w:tcPr>
          <w:p>
            <w:r>
              <w:t>Open/close FI posting periods</w:t>
            </w:r>
          </w:p>
        </w:tc>
      </w:tr>
      <w:tr>
        <w:tc>
          <w:tcPr>
            <w:tcW w:type="dxa" w:w="3312"/>
          </w:tcPr>
          <w:p>
            <w:r>
              <w:t>G/L account master</w:t>
            </w:r>
          </w:p>
        </w:tc>
        <w:tc>
          <w:tcPr>
            <w:tcW w:type="dxa" w:w="3312"/>
          </w:tcPr>
          <w:p>
            <w:r>
              <w:t>FS00</w:t>
            </w:r>
          </w:p>
        </w:tc>
        <w:tc>
          <w:tcPr>
            <w:tcW w:type="dxa" w:w="3312"/>
          </w:tcPr>
          <w:p>
            <w:r>
              <w:t>Maintain G/L accounts</w:t>
            </w:r>
          </w:p>
        </w:tc>
      </w:tr>
      <w:tr>
        <w:tc>
          <w:tcPr>
            <w:tcW w:type="dxa" w:w="3312"/>
          </w:tcPr>
          <w:p>
            <w:r>
              <w:t>Customer/vendor master (legacy reference)</w:t>
            </w:r>
          </w:p>
        </w:tc>
        <w:tc>
          <w:tcPr>
            <w:tcW w:type="dxa" w:w="3312"/>
          </w:tcPr>
          <w:p>
            <w:r>
              <w:t>FD01 / FK01</w:t>
            </w:r>
          </w:p>
        </w:tc>
        <w:tc>
          <w:tcPr>
            <w:tcW w:type="dxa" w:w="3312"/>
          </w:tcPr>
          <w:p>
            <w:r>
              <w:t>Legacy customer/vendor creation; S/4HANA uses Business Partner</w:t>
            </w:r>
          </w:p>
        </w:tc>
      </w:tr>
      <w:tr>
        <w:tc>
          <w:tcPr>
            <w:tcW w:type="dxa" w:w="3312"/>
          </w:tcPr>
          <w:p>
            <w:r>
              <w:t>Payment terms</w:t>
            </w:r>
          </w:p>
        </w:tc>
        <w:tc>
          <w:tcPr>
            <w:tcW w:type="dxa" w:w="3312"/>
          </w:tcPr>
          <w:p>
            <w:r>
              <w:t>OBB8</w:t>
            </w:r>
          </w:p>
        </w:tc>
        <w:tc>
          <w:tcPr>
            <w:tcW w:type="dxa" w:w="3312"/>
          </w:tcPr>
          <w:p>
            <w:r>
              <w:t>Define terms of payment</w:t>
            </w:r>
          </w:p>
        </w:tc>
      </w:tr>
      <w:tr>
        <w:tc>
          <w:tcPr>
            <w:tcW w:type="dxa" w:w="3312"/>
          </w:tcPr>
          <w:p>
            <w:r>
              <w:t>Tax codes</w:t>
            </w:r>
          </w:p>
        </w:tc>
        <w:tc>
          <w:tcPr>
            <w:tcW w:type="dxa" w:w="3312"/>
          </w:tcPr>
          <w:p>
            <w:r>
              <w:t>FTXP</w:t>
            </w:r>
          </w:p>
        </w:tc>
        <w:tc>
          <w:tcPr>
            <w:tcW w:type="dxa" w:w="3312"/>
          </w:tcPr>
          <w:p>
            <w:r>
              <w:t>Maintain tax codes</w:t>
            </w:r>
          </w:p>
        </w:tc>
      </w:tr>
      <w:tr>
        <w:tc>
          <w:tcPr>
            <w:tcW w:type="dxa" w:w="3312"/>
          </w:tcPr>
          <w:p>
            <w:r>
              <w:t>House banks</w:t>
            </w:r>
          </w:p>
        </w:tc>
        <w:tc>
          <w:tcPr>
            <w:tcW w:type="dxa" w:w="3312"/>
          </w:tcPr>
          <w:p>
            <w:r>
              <w:t>FI12 / FI12_HBANK</w:t>
            </w:r>
          </w:p>
        </w:tc>
        <w:tc>
          <w:tcPr>
            <w:tcW w:type="dxa" w:w="3312"/>
          </w:tcPr>
          <w:p>
            <w:r>
              <w:t>Legacy/classic house-bank maintenance; app availability varies</w:t>
            </w:r>
          </w:p>
        </w:tc>
      </w:tr>
      <w:tr>
        <w:tc>
          <w:tcPr>
            <w:tcW w:type="dxa" w:w="3312"/>
          </w:tcPr>
          <w:p>
            <w:r>
              <w:t>Asset classes</w:t>
            </w:r>
          </w:p>
        </w:tc>
        <w:tc>
          <w:tcPr>
            <w:tcW w:type="dxa" w:w="3312"/>
          </w:tcPr>
          <w:p>
            <w:r>
              <w:t>OAOA</w:t>
            </w:r>
          </w:p>
        </w:tc>
        <w:tc>
          <w:tcPr>
            <w:tcW w:type="dxa" w:w="3312"/>
          </w:tcPr>
          <w:p>
            <w:r>
              <w:t>Maintain asset classes</w:t>
            </w:r>
          </w:p>
        </w:tc>
      </w:tr>
    </w:tbl>
    <w:p>
      <w:pPr>
        <w:pStyle w:val="Heading1"/>
      </w:pPr>
      <w:r>
        <w:t>23. Review Checklist Before Submission</w:t>
      </w:r>
    </w:p>
    <w:p>
      <w:pPr>
        <w:pStyle w:val="ListBullet"/>
      </w:pPr>
      <w:r>
        <w:t>The guide explains the difference between configuration and master data.</w:t>
      </w:r>
    </w:p>
    <w:p>
      <w:pPr>
        <w:pStyle w:val="ListBullet"/>
      </w:pPr>
      <w:r>
        <w:t>Company code, fiscal year and posting-period concepts are clearly separated.</w:t>
      </w:r>
    </w:p>
    <w:p>
      <w:pPr>
        <w:pStyle w:val="ListBullet"/>
      </w:pPr>
      <w:r>
        <w:t>Chart of accounts and G/L account controls are explained.</w:t>
      </w:r>
    </w:p>
    <w:p>
      <w:pPr>
        <w:pStyle w:val="ListBullet"/>
      </w:pPr>
      <w:r>
        <w:t>Document types and number ranges are covered.</w:t>
      </w:r>
    </w:p>
    <w:p>
      <w:pPr>
        <w:pStyle w:val="ListBullet"/>
      </w:pPr>
      <w:r>
        <w:t>Tax, AP, AR, banking and Asset Accounting are included.</w:t>
      </w:r>
    </w:p>
    <w:p>
      <w:pPr>
        <w:pStyle w:val="ListBullet"/>
      </w:pPr>
      <w:r>
        <w:t>CO configuration includes controlling area, cost centers, profit centers and internal orders.</w:t>
      </w:r>
    </w:p>
    <w:p>
      <w:pPr>
        <w:pStyle w:val="ListBullet"/>
      </w:pPr>
      <w:r>
        <w:t>FI integration with MM and SD is explained.</w:t>
      </w:r>
    </w:p>
    <w:p>
      <w:pPr>
        <w:pStyle w:val="ListBullet"/>
      </w:pPr>
      <w:r>
        <w:t>End-to-end testing and reconciliation are included.</w:t>
      </w:r>
    </w:p>
    <w:p>
      <w:pPr>
        <w:pStyle w:val="ListBullet"/>
      </w:pPr>
      <w:r>
        <w:t>The guide warns that configuration differs by S/4HANA deployment and release.</w:t>
      </w:r>
    </w:p>
    <w:p>
      <w:pPr>
        <w:pStyle w:val="ListBullet"/>
      </w:pPr>
      <w:r>
        <w:t>Sources are primarily official SAP Learning and SAP Help documentation.</w:t>
      </w:r>
    </w:p>
    <w:p>
      <w:pPr>
        <w:pStyle w:val="Heading1"/>
      </w:pPr>
      <w:r>
        <w:t>24. Conclusion</w:t>
      </w:r>
    </w:p>
    <w:p>
      <w:r>
        <w:t>SAP FICO configuration is best understood as a connected chain rather than a list of isolated settings. The implementation begins with organizational structure and accounting principles, then establishes fiscal periods, ledgers, currencies and the chart of accounts. Transaction controls, taxes, subledgers, assets, banking and CO are then configured so that business events create consistent accounting and management information. Finally, integrated testing, reconciliation and period-end processes confirm that the configuration works as intended.</w:t>
      </w:r>
    </w:p>
    <w:p>
      <w:r>
        <w:t>For a beginner, the most important principle is to understand the business posting flow first and then learn the SAP setting that controls each part of that flow. This makes configuration much easier to remember and troubleshoot.</w:t>
      </w:r>
    </w:p>
    <w:p>
      <w:pPr>
        <w:pStyle w:val="Heading1"/>
      </w:pPr>
      <w:r>
        <w:t>25. References</w:t>
      </w:r>
    </w:p>
    <w:p>
      <w:pPr>
        <w:pStyle w:val="ListBullet"/>
      </w:pPr>
      <w:r>
        <w:rPr>
          <w:b/>
        </w:rPr>
        <w:t xml:space="preserve">SAP Learning – Defining Posting Periods in Financial Accounting — </w:t>
      </w:r>
      <w:r>
        <w:t>https://learning.sap.com/courses/customizing-financial-document-control/defining-posting-periods-in-financial-accounting</w:t>
      </w:r>
    </w:p>
    <w:p>
      <w:pPr>
        <w:pStyle w:val="ListBullet"/>
      </w:pPr>
      <w:r>
        <w:rPr>
          <w:b/>
        </w:rPr>
        <w:t xml:space="preserve">SAP Learning – Managing Fiscal Year Variants — </w:t>
      </w:r>
      <w:r>
        <w:t>https://learning.sap.com/courses/customizing-core-settings-in-financial-accounting-in-sap-s4hana/managing-fiscal-year-variants-1</w:t>
      </w:r>
    </w:p>
    <w:p>
      <w:pPr>
        <w:pStyle w:val="ListBullet"/>
      </w:pPr>
      <w:r>
        <w:rPr>
          <w:b/>
        </w:rPr>
        <w:t xml:space="preserve">SAP Learning – Maintaining General Ledger (G/L) Accounts — </w:t>
      </w:r>
      <w:r>
        <w:t>https://learning.sap.com/courses/customizing-core-settings-in-financial-accounting-in-sap-s4hana/maintaining-general-ledger-g-l-accounts</w:t>
      </w:r>
    </w:p>
    <w:p>
      <w:pPr>
        <w:pStyle w:val="ListBullet"/>
      </w:pPr>
      <w:r>
        <w:rPr>
          <w:b/>
        </w:rPr>
        <w:t xml:space="preserve">SAP Learning – Configuring Header and Line Items of FI Documents — </w:t>
      </w:r>
      <w:r>
        <w:t>https://learning.sap.com/courses/customizing-core-settings-in-financial-accounting-in-sap-s4hana/configuring-the-header-and-line-items-of-financial-accounting-fi-documents</w:t>
      </w:r>
    </w:p>
    <w:p>
      <w:pPr>
        <w:pStyle w:val="ListBullet"/>
      </w:pPr>
      <w:r>
        <w:rPr>
          <w:b/>
        </w:rPr>
        <w:t xml:space="preserve">SAP Learning – Maintaining Taxes and Tax Codes — </w:t>
      </w:r>
      <w:r>
        <w:t>https://learning.sap.com/courses/customizing-core-settings-in-financial-accounting-in-sap-s4hana/maintaining-taxes-and-tax-codes</w:t>
      </w:r>
    </w:p>
    <w:p>
      <w:pPr>
        <w:pStyle w:val="ListBullet"/>
      </w:pPr>
      <w:r>
        <w:rPr>
          <w:b/>
        </w:rPr>
        <w:t xml:space="preserve">SAP Learning – Configuring Payment Terms and Cash Discounts — </w:t>
      </w:r>
      <w:r>
        <w:t>https://learning.sap.com/courses/customizing-core-settings-in-financial-accounting-in-sap-s4hana/configuring-payment-terms-and-cash-discounts</w:t>
      </w:r>
    </w:p>
    <w:p>
      <w:pPr>
        <w:pStyle w:val="ListBullet"/>
      </w:pPr>
      <w:r>
        <w:rPr>
          <w:b/>
        </w:rPr>
        <w:t xml:space="preserve">SAP Learning – Defining Depreciation Areas, Keys, Calculation, and Posting — </w:t>
      </w:r>
      <w:r>
        <w:t>https://learning.sap.com/courses/configuring-asset-accounting-in-sap-s4hana/defining-depreciation-areas-keys-calculation-and-posting</w:t>
      </w:r>
    </w:p>
    <w:p>
      <w:pPr>
        <w:pStyle w:val="ListBullet"/>
      </w:pPr>
      <w:r>
        <w:rPr>
          <w:b/>
        </w:rPr>
        <w:t xml:space="preserve">SAP Learning – Cost Center and Internal Order Accounting in SAP S/4HANA — </w:t>
      </w:r>
      <w:r>
        <w:t>https://learning.sap.com/courses/cost-center-and-internal-order-accounting-in-sap-s-4hana</w:t>
      </w:r>
    </w:p>
    <w:p>
      <w:pPr>
        <w:pStyle w:val="ListBullet"/>
      </w:pPr>
      <w:r>
        <w:rPr>
          <w:b/>
        </w:rPr>
        <w:t xml:space="preserve">SAP Learning – Creating Profit Center Master Data — </w:t>
      </w:r>
      <w:r>
        <w:t>https://learning.sap.com/courses/profit-center-accounting-in-sap-s-4hana-br/creating-profit-center-master-data</w:t>
      </w:r>
    </w:p>
    <w:p>
      <w:pPr>
        <w:pStyle w:val="ListBullet"/>
      </w:pPr>
      <w:r>
        <w:rPr>
          <w:b/>
        </w:rPr>
        <w:t xml:space="preserve">SAP Help Portal – Fiscal Year and Fiscal Year Variant — </w:t>
      </w:r>
      <w:r>
        <w:t>https://help.sap.com/docs/SAP_S4HANA_CLOUD/0fa84c9d9c634132b7c4abb9ffdd8f06/7353d7531a4d424de10000000a174cb4.html</w:t>
      </w:r>
    </w:p>
    <w:p>
      <w:pPr>
        <w:pStyle w:val="ListBullet"/>
      </w:pPr>
      <w:r>
        <w:rPr>
          <w:b/>
        </w:rPr>
        <w:t xml:space="preserve">SAP Help Portal – Posting Period Variants — </w:t>
      </w:r>
      <w:r>
        <w:t>https://help.sap.com/docs/SAP_S4HANA_CLOUD/0fa84c9d9c634132b7c4abb9ffdd8f06/979f873885bd40988497c3129ff870c0.html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