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jc w:val="center"/>
      </w:pPr>
      <w:r>
        <w:rPr>
          <w:b/>
          <w:bCs/>
          <w:color w:val="666666"/>
          <w:sz w:val="24"/>
          <w:szCs w:val="24"/>
        </w:rPr>
        <w:t xml:space="preserve">CASE STUDY REPORT</w:t>
      </w:r>
    </w:p>
    <w:p>
      <w:pPr>
        <w:spacing w:after="100" w:before="200"/>
        <w:jc w:val="center"/>
      </w:pPr>
      <w:r>
        <w:rPr>
          <w:b/>
          <w:bCs/>
          <w:color w:val="1f2937"/>
          <w:sz w:val="56"/>
          <w:szCs w:val="56"/>
        </w:rPr>
        <w:t xml:space="preserve">Procura</w:t>
      </w:r>
    </w:p>
    <w:p>
      <w:pPr>
        <w:spacing w:after="400"/>
        <w:jc w:val="center"/>
      </w:pPr>
      <w:r>
        <w:rPr>
          <w:b/>
          <w:bCs/>
          <w:color w:val="2563eb"/>
          <w:sz w:val="28"/>
          <w:szCs w:val="28"/>
        </w:rPr>
        <w:t xml:space="preserve">An Operating-Systems-Inspired Task Scheduler with a RAG-Powered Self-Healing Layer</w:t>
      </w:r>
    </w:p>
    <w:p>
      <w:pPr>
        <w:spacing w:after="1000"/>
        <w:jc w:val="center"/>
      </w:pPr>
      <w:r>
        <w:rPr>
          <w:i/>
          <w:iCs/>
          <w:sz w:val="21"/>
          <w:szCs w:val="21"/>
        </w:rPr>
        <w:t xml:space="preserve">A case study submitted in partial fulfilment of the requirements of the Operating Systems course</w:t>
      </w:r>
    </w:p>
    <w:tbl>
      <w:tblPr>
        <w:tblW w:type="dxa" w:w="6000"/>
        <w:jc w:val="center"/>
        <w:tblBorders>
          <w:top w:val="none"/>
          <w:left w:val="none"/>
          <w:bottom w:val="none"/>
          <w:right w:val="none"/>
          <w:insideH w:val="single" w:color="DDDDDD" w:sz="1"/>
          <w:insideV w:val="none"/>
        </w:tblBorders>
      </w:tblPr>
      <w:tblGrid>
        <w:gridCol w:w="2200"/>
        <w:gridCol w:w="3800"/>
      </w:tblGrid>
      <w:tr>
        <w:tc>
          <w:tcPr>
            <w:tcW w:type="dxa" w:w="2200"/>
            <w:tcMar>
              <w:top w:type="dxa" w:w="80"/>
              <w:left w:type="dxa" w:w="120"/>
              <w:bottom w:type="dxa" w:w="80"/>
              <w:right w:type="dxa" w:w="120"/>
            </w:tcMar>
            <w:vAlign w:val="center"/>
          </w:tcPr>
          <w:p>
            <w:pPr>
              <w:jc w:val="left"/>
            </w:pPr>
            <w:r>
              <w:rPr>
                <w:b/>
                <w:bCs/>
                <w:color w:val="111111"/>
                <w:sz w:val="19"/>
                <w:szCs w:val="19"/>
              </w:rPr>
              <w:t xml:space="preserve">Name</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[Your Name]</w:t>
            </w:r>
          </w:p>
        </w:tc>
      </w:tr>
      <w:tr>
        <w:tc>
          <w:tcPr>
            <w:tcW w:type="dxa" w:w="2200"/>
            <w:tcMar>
              <w:top w:type="dxa" w:w="80"/>
              <w:left w:type="dxa" w:w="120"/>
              <w:bottom w:type="dxa" w:w="80"/>
              <w:right w:type="dxa" w:w="120"/>
            </w:tcMar>
            <w:vAlign w:val="center"/>
          </w:tcPr>
          <w:p>
            <w:pPr>
              <w:jc w:val="left"/>
            </w:pPr>
            <w:r>
              <w:rPr>
                <w:b/>
                <w:bCs/>
                <w:color w:val="111111"/>
                <w:sz w:val="19"/>
                <w:szCs w:val="19"/>
              </w:rPr>
              <w:t xml:space="preserve">Roll No. / Reg. No.</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[Your Roll No.]</w:t>
            </w:r>
          </w:p>
        </w:tc>
      </w:tr>
      <w:tr>
        <w:tc>
          <w:tcPr>
            <w:tcW w:type="dxa" w:w="2200"/>
            <w:tcMar>
              <w:top w:type="dxa" w:w="80"/>
              <w:left w:type="dxa" w:w="120"/>
              <w:bottom w:type="dxa" w:w="80"/>
              <w:right w:type="dxa" w:w="120"/>
            </w:tcMar>
            <w:vAlign w:val="center"/>
          </w:tcPr>
          <w:p>
            <w:pPr>
              <w:jc w:val="left"/>
            </w:pPr>
            <w:r>
              <w:rPr>
                <w:b/>
                <w:bCs/>
                <w:color w:val="111111"/>
                <w:sz w:val="19"/>
                <w:szCs w:val="19"/>
              </w:rPr>
              <w:t xml:space="preserve">Course</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Operating Systems</w:t>
            </w:r>
          </w:p>
        </w:tc>
      </w:tr>
      <w:tr>
        <w:tc>
          <w:tcPr>
            <w:tcW w:type="dxa" w:w="2200"/>
            <w:tcMar>
              <w:top w:type="dxa" w:w="80"/>
              <w:left w:type="dxa" w:w="120"/>
              <w:bottom w:type="dxa" w:w="80"/>
              <w:right w:type="dxa" w:w="120"/>
            </w:tcMar>
            <w:vAlign w:val="center"/>
          </w:tcPr>
          <w:p>
            <w:pPr>
              <w:jc w:val="left"/>
            </w:pPr>
            <w:r>
              <w:rPr>
                <w:b/>
                <w:bCs/>
                <w:color w:val="111111"/>
                <w:sz w:val="19"/>
                <w:szCs w:val="19"/>
              </w:rPr>
              <w:t xml:space="preserve">Repository</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github.com/harshitchhabi/procura</w:t>
            </w:r>
          </w:p>
        </w:tc>
      </w:tr>
      <w:tr>
        <w:tc>
          <w:tcPr>
            <w:tcW w:type="dxa" w:w="2200"/>
            <w:tcMar>
              <w:top w:type="dxa" w:w="80"/>
              <w:left w:type="dxa" w:w="120"/>
              <w:bottom w:type="dxa" w:w="80"/>
              <w:right w:type="dxa" w:w="120"/>
            </w:tcMar>
            <w:vAlign w:val="center"/>
          </w:tcPr>
          <w:p>
            <w:pPr>
              <w:jc w:val="left"/>
            </w:pPr>
            <w:r>
              <w:rPr>
                <w:b/>
                <w:bCs/>
                <w:color w:val="111111"/>
                <w:sz w:val="19"/>
                <w:szCs w:val="19"/>
              </w:rPr>
              <w:t xml:space="preserve">Date</w:t>
            </w:r>
          </w:p>
        </w:tc>
        <w:tc>
          <w:tcPr>
            <w:tcW w:type="dxa" w:w="3800"/>
            <w:tcMar>
              <w:top w:type="dxa" w:w="80"/>
              <w:left w:type="dxa" w:w="120"/>
              <w:bottom w:type="dxa" w:w="80"/>
              <w:right w:type="dxa" w:w="120"/>
            </w:tcMar>
            <w:vAlign w:val="center"/>
          </w:tcPr>
          <w:p>
            <w:pPr>
              <w:jc w:val="left"/>
            </w:pPr>
            <w:r>
              <w:rPr>
                <w:b w:val="false"/>
                <w:bCs w:val="false"/>
                <w:color w:val="111111"/>
                <w:sz w:val="19"/>
                <w:szCs w:val="19"/>
              </w:rPr>
              <w:t xml:space="preserve">[Submission Date]</w:t>
            </w:r>
          </w:p>
        </w:tc>
      </w:tr>
    </w:tbl>
    <w:p>
      <w:r>
        <w:br w:type="page"/>
      </w:r>
    </w:p>
    <w:p>
      <w:pPr>
        <w:pStyle w:val="Heading1"/>
        <w:spacing w:after="180" w:before="360"/>
      </w:pPr>
      <w:bookmarkStart w:name="_Toc1" w:id="1"/>
      <w:r>
        <w:t xml:space="preserve">Table of Contents</w:t>
      </w:r>
      <w:bookmarkEnd w:id="1"/>
    </w:p>
    <w:sdt>
      <w:sdtPr>
        <w:alias w:val="Table of Contents"/>
      </w:sdtPr>
      <w:sdtContent>
        <w:p>
          <w:pPr>
            <w:pStyle w:val="TOC1"/>
            <w:tabs>
              <w:tab w:val="right" w:pos="9720" w:leader="dot"/>
            </w:tabs>
          </w:pPr>
          <w:r>
            <w:fldChar w:fldCharType="begin" w:dirty="true"/>
            <w:instrText xml:space="preserve">TOC \h \o "1-2"</w:instrText>
            <w:fldChar w:fldCharType="separate"/>
          </w:r>
          <w:hyperlink w:history="1" w:anchor="_Toc1">
            <w:r>
              <w:t xml:space="preserve">Table of Contents</w:t>
            </w:r>
            <w:r>
              <w:tab/>
            </w:r>
            <w:r>
              <w:fldChar w:fldCharType="begin" w:dirty="true"/>
              <w:instrText xml:space="preserve">PAGEREF _Toc1 \h</w:instrText>
              <w:fldChar w:fldCharType="separate"/>
              <w:fldChar w:fldCharType="end"/>
            </w:r>
          </w:hyperlink>
        </w:p>
        <w:p>
          <w:pPr>
            <w:pStyle w:val="TOC1"/>
            <w:tabs>
              <w:tab w:val="right" w:pos="9720" w:leader="dot"/>
            </w:tabs>
          </w:pPr>
          <w:hyperlink w:history="1" w:anchor="_Toc2">
            <w:r>
              <w:t xml:space="preserve">1. Project Title</w:t>
            </w:r>
            <w:r>
              <w:tab/>
            </w:r>
            <w:r>
              <w:fldChar w:fldCharType="begin" w:dirty="true"/>
              <w:instrText xml:space="preserve">PAGEREF _Toc2 \h</w:instrText>
              <w:fldChar w:fldCharType="separate"/>
              <w:fldChar w:fldCharType="end"/>
            </w:r>
          </w:hyperlink>
        </w:p>
        <w:p>
          <w:pPr>
            <w:pStyle w:val="TOC1"/>
            <w:tabs>
              <w:tab w:val="right" w:pos="9720" w:leader="dot"/>
            </w:tabs>
          </w:pPr>
          <w:hyperlink w:history="1" w:anchor="_Toc3">
            <w:r>
              <w:t xml:space="preserve">2. Introduction</w:t>
            </w:r>
            <w:r>
              <w:tab/>
            </w:r>
            <w:r>
              <w:fldChar w:fldCharType="begin" w:dirty="true"/>
              <w:instrText xml:space="preserve">PAGEREF _Toc3 \h</w:instrText>
              <w:fldChar w:fldCharType="separate"/>
              <w:fldChar w:fldCharType="end"/>
            </w:r>
          </w:hyperlink>
        </w:p>
        <w:p>
          <w:pPr>
            <w:pStyle w:val="TOC1"/>
            <w:tabs>
              <w:tab w:val="right" w:pos="9720" w:leader="dot"/>
            </w:tabs>
          </w:pPr>
          <w:hyperlink w:history="1" w:anchor="_Toc4">
            <w:r>
              <w:t xml:space="preserve">3. Problem Statement</w:t>
            </w:r>
            <w:r>
              <w:tab/>
            </w:r>
            <w:r>
              <w:fldChar w:fldCharType="begin" w:dirty="true"/>
              <w:instrText xml:space="preserve">PAGEREF _Toc4 \h</w:instrText>
              <w:fldChar w:fldCharType="separate"/>
              <w:fldChar w:fldCharType="end"/>
            </w:r>
          </w:hyperlink>
        </w:p>
        <w:p>
          <w:pPr>
            <w:pStyle w:val="TOC2"/>
            <w:tabs>
              <w:tab w:val="right" w:pos="9720" w:leader="dot"/>
            </w:tabs>
            <w:ind w:left="220"/>
          </w:pPr>
          <w:hyperlink w:history="1" w:anchor="_Toc5">
            <w:r>
              <w:t xml:space="preserve">3.1 Prioritisation in task managers is arbitrary, not computed</w:t>
            </w:r>
            <w:r>
              <w:tab/>
            </w:r>
            <w:r>
              <w:fldChar w:fldCharType="begin" w:dirty="true"/>
              <w:instrText xml:space="preserve">PAGEREF _Toc5 \h</w:instrText>
              <w:fldChar w:fldCharType="separate"/>
              <w:fldChar w:fldCharType="end"/>
            </w:r>
          </w:hyperlink>
        </w:p>
        <w:p>
          <w:pPr>
            <w:pStyle w:val="TOC2"/>
            <w:tabs>
              <w:tab w:val="right" w:pos="9720" w:leader="dot"/>
            </w:tabs>
            <w:ind w:left="220"/>
          </w:pPr>
          <w:hyperlink w:history="1" w:anchor="_Toc6">
            <w:r>
              <w:t xml:space="preserve">3.2 Failures in personal and small-team systems are rarely diagnosed, and never auto-recovered</w:t>
            </w:r>
            <w:r>
              <w:tab/>
            </w:r>
            <w:r>
              <w:fldChar w:fldCharType="begin" w:dirty="true"/>
              <w:instrText xml:space="preserve">PAGEREF _Toc6 \h</w:instrText>
              <w:fldChar w:fldCharType="separate"/>
              <w:fldChar w:fldCharType="end"/>
            </w:r>
          </w:hyperlink>
        </w:p>
        <w:p>
          <w:pPr>
            <w:pStyle w:val="TOC1"/>
            <w:tabs>
              <w:tab w:val="right" w:pos="9720" w:leader="dot"/>
            </w:tabs>
          </w:pPr>
          <w:hyperlink w:history="1" w:anchor="_Toc7">
            <w:r>
              <w:t xml:space="preserve">4. Objectives</w:t>
            </w:r>
            <w:r>
              <w:tab/>
            </w:r>
            <w:r>
              <w:fldChar w:fldCharType="begin" w:dirty="true"/>
              <w:instrText xml:space="preserve">PAGEREF _Toc7 \h</w:instrText>
              <w:fldChar w:fldCharType="separate"/>
              <w:fldChar w:fldCharType="end"/>
            </w:r>
          </w:hyperlink>
        </w:p>
        <w:p>
          <w:pPr>
            <w:pStyle w:val="TOC1"/>
            <w:tabs>
              <w:tab w:val="right" w:pos="9720" w:leader="dot"/>
            </w:tabs>
          </w:pPr>
          <w:hyperlink w:history="1" w:anchor="_Toc8">
            <w:r>
              <w:t xml:space="preserve">5. Survey on Existing Work Related to the Project</w:t>
            </w:r>
            <w:r>
              <w:tab/>
            </w:r>
            <w:r>
              <w:fldChar w:fldCharType="begin" w:dirty="true"/>
              <w:instrText xml:space="preserve">PAGEREF _Toc8 \h</w:instrText>
              <w:fldChar w:fldCharType="separate"/>
              <w:fldChar w:fldCharType="end"/>
            </w:r>
          </w:hyperlink>
        </w:p>
        <w:p>
          <w:pPr>
            <w:pStyle w:val="TOC2"/>
            <w:tabs>
              <w:tab w:val="right" w:pos="9720" w:leader="dot"/>
            </w:tabs>
            <w:ind w:left="220"/>
          </w:pPr>
          <w:hyperlink w:history="1" w:anchor="_Toc9">
            <w:r>
              <w:t xml:space="preserve">5.1 Production CPU scheduling</w:t>
            </w:r>
            <w:r>
              <w:tab/>
            </w:r>
            <w:r>
              <w:fldChar w:fldCharType="begin" w:dirty="true"/>
              <w:instrText xml:space="preserve">PAGEREF _Toc9 \h</w:instrText>
              <w:fldChar w:fldCharType="separate"/>
              <w:fldChar w:fldCharType="end"/>
            </w:r>
          </w:hyperlink>
        </w:p>
        <w:p>
          <w:pPr>
            <w:pStyle w:val="TOC2"/>
            <w:tabs>
              <w:tab w:val="right" w:pos="9720" w:leader="dot"/>
            </w:tabs>
            <w:ind w:left="220"/>
          </w:pPr>
          <w:hyperlink w:history="1" w:anchor="_Toc10">
            <w:r>
              <w:t xml:space="preserve">5.2 Fairness and real-world job schedulers</w:t>
            </w:r>
            <w:r>
              <w:tab/>
            </w:r>
            <w:r>
              <w:fldChar w:fldCharType="begin" w:dirty="true"/>
              <w:instrText xml:space="preserve">PAGEREF _Toc10 \h</w:instrText>
              <w:fldChar w:fldCharType="separate"/>
              <w:fldChar w:fldCharType="end"/>
            </w:r>
          </w:hyperlink>
        </w:p>
        <w:p>
          <w:pPr>
            <w:pStyle w:val="TOC2"/>
            <w:tabs>
              <w:tab w:val="right" w:pos="9720" w:leader="dot"/>
            </w:tabs>
            <w:ind w:left="220"/>
          </w:pPr>
          <w:hyperlink w:history="1" w:anchor="_Toc11">
            <w:r>
              <w:t xml:space="preserve">5.3 AIOps, self-healing systems, and RAG-based diagnosis</w:t>
            </w:r>
            <w:r>
              <w:tab/>
            </w:r>
            <w:r>
              <w:fldChar w:fldCharType="begin" w:dirty="true"/>
              <w:instrText xml:space="preserve">PAGEREF _Toc11 \h</w:instrText>
              <w:fldChar w:fldCharType="separate"/>
              <w:fldChar w:fldCharType="end"/>
            </w:r>
          </w:hyperlink>
        </w:p>
        <w:p>
          <w:pPr>
            <w:pStyle w:val="TOC2"/>
            <w:tabs>
              <w:tab w:val="right" w:pos="9720" w:leader="dot"/>
            </w:tabs>
            <w:ind w:left="220"/>
          </w:pPr>
          <w:hyperlink w:history="1" w:anchor="_Toc12">
            <w:r>
              <w:t xml:space="preserve">5.4 Statistical anomaly detection</w:t>
            </w:r>
            <w:r>
              <w:tab/>
            </w:r>
            <w:r>
              <w:fldChar w:fldCharType="begin" w:dirty="true"/>
              <w:instrText xml:space="preserve">PAGEREF _Toc12 \h</w:instrText>
              <w:fldChar w:fldCharType="separate"/>
              <w:fldChar w:fldCharType="end"/>
            </w:r>
          </w:hyperlink>
        </w:p>
        <w:p>
          <w:pPr>
            <w:pStyle w:val="TOC2"/>
            <w:tabs>
              <w:tab w:val="right" w:pos="9720" w:leader="dot"/>
            </w:tabs>
            <w:ind w:left="220"/>
          </w:pPr>
          <w:hyperlink w:history="1" w:anchor="_Toc13">
            <w:r>
              <w:t xml:space="preserve">5.5 Deadlock handling in real systems</w:t>
            </w:r>
            <w:r>
              <w:tab/>
            </w:r>
            <w:r>
              <w:fldChar w:fldCharType="begin" w:dirty="true"/>
              <w:instrText xml:space="preserve">PAGEREF _Toc13 \h</w:instrText>
              <w:fldChar w:fldCharType="separate"/>
              <w:fldChar w:fldCharType="end"/>
            </w:r>
          </w:hyperlink>
        </w:p>
        <w:p>
          <w:pPr>
            <w:pStyle w:val="TOC2"/>
            <w:tabs>
              <w:tab w:val="right" w:pos="9720" w:leader="dot"/>
            </w:tabs>
            <w:ind w:left="220"/>
          </w:pPr>
          <w:hyperlink w:history="1" w:anchor="_Toc14">
            <w:r>
              <w:t xml:space="preserve">5.6 Benchmark workloads and evaluation methodology</w:t>
            </w:r>
            <w:r>
              <w:tab/>
            </w:r>
            <w:r>
              <w:fldChar w:fldCharType="begin" w:dirty="true"/>
              <w:instrText xml:space="preserve">PAGEREF _Toc14 \h</w:instrText>
              <w:fldChar w:fldCharType="separate"/>
              <w:fldChar w:fldCharType="end"/>
            </w:r>
          </w:hyperlink>
        </w:p>
        <w:p>
          <w:pPr>
            <w:pStyle w:val="TOC1"/>
            <w:tabs>
              <w:tab w:val="right" w:pos="9720" w:leader="dot"/>
            </w:tabs>
          </w:pPr>
          <w:hyperlink w:history="1" w:anchor="_Toc15">
            <w:r>
              <w:t xml:space="preserve">6. Existing and Proposed Systems</w:t>
            </w:r>
            <w:r>
              <w:tab/>
            </w:r>
            <w:r>
              <w:fldChar w:fldCharType="begin" w:dirty="true"/>
              <w:instrText xml:space="preserve">PAGEREF _Toc15 \h</w:instrText>
              <w:fldChar w:fldCharType="separate"/>
              <w:fldChar w:fldCharType="end"/>
            </w:r>
          </w:hyperlink>
        </w:p>
        <w:p>
          <w:pPr>
            <w:pStyle w:val="TOC1"/>
            <w:tabs>
              <w:tab w:val="right" w:pos="9720" w:leader="dot"/>
            </w:tabs>
          </w:pPr>
          <w:hyperlink w:history="1" w:anchor="_Toc16">
            <w:r>
              <w:t xml:space="preserve">7. Methodology</w:t>
            </w:r>
            <w:r>
              <w:tab/>
            </w:r>
            <w:r>
              <w:fldChar w:fldCharType="begin" w:dirty="true"/>
              <w:instrText xml:space="preserve">PAGEREF _Toc16 \h</w:instrText>
              <w:fldChar w:fldCharType="separate"/>
              <w:fldChar w:fldCharType="end"/>
            </w:r>
          </w:hyperlink>
        </w:p>
        <w:p>
          <w:pPr>
            <w:pStyle w:val="TOC2"/>
            <w:tabs>
              <w:tab w:val="right" w:pos="9720" w:leader="dot"/>
            </w:tabs>
            <w:ind w:left="220"/>
          </w:pPr>
          <w:hyperlink w:history="1" w:anchor="_Toc17">
            <w:r>
              <w:t xml:space="preserve">7.1 Evaluation methodology</w:t>
            </w:r>
            <w:r>
              <w:tab/>
            </w:r>
            <w:r>
              <w:fldChar w:fldCharType="begin" w:dirty="true"/>
              <w:instrText xml:space="preserve">PAGEREF _Toc17 \h</w:instrText>
              <w:fldChar w:fldCharType="separate"/>
              <w:fldChar w:fldCharType="end"/>
            </w:r>
          </w:hyperlink>
        </w:p>
        <w:p>
          <w:pPr>
            <w:pStyle w:val="TOC1"/>
            <w:tabs>
              <w:tab w:val="right" w:pos="9720" w:leader="dot"/>
            </w:tabs>
          </w:pPr>
          <w:hyperlink w:history="1" w:anchor="_Toc18">
            <w:r>
              <w:t xml:space="preserve">8. Software and Hardware Requirements</w:t>
            </w:r>
            <w:r>
              <w:tab/>
            </w:r>
            <w:r>
              <w:fldChar w:fldCharType="begin" w:dirty="true"/>
              <w:instrText xml:space="preserve">PAGEREF _Toc18 \h</w:instrText>
              <w:fldChar w:fldCharType="separate"/>
              <w:fldChar w:fldCharType="end"/>
            </w:r>
          </w:hyperlink>
        </w:p>
        <w:p>
          <w:pPr>
            <w:pStyle w:val="TOC2"/>
            <w:tabs>
              <w:tab w:val="right" w:pos="9720" w:leader="dot"/>
            </w:tabs>
            <w:ind w:left="220"/>
          </w:pPr>
          <w:hyperlink w:history="1" w:anchor="_Toc19">
            <w:r>
              <w:t xml:space="preserve">8.1 Software requirements</w:t>
            </w:r>
            <w:r>
              <w:tab/>
            </w:r>
            <w:r>
              <w:fldChar w:fldCharType="begin" w:dirty="true"/>
              <w:instrText xml:space="preserve">PAGEREF _Toc19 \h</w:instrText>
              <w:fldChar w:fldCharType="separate"/>
              <w:fldChar w:fldCharType="end"/>
            </w:r>
          </w:hyperlink>
        </w:p>
        <w:p>
          <w:pPr>
            <w:pStyle w:val="TOC2"/>
            <w:tabs>
              <w:tab w:val="right" w:pos="9720" w:leader="dot"/>
            </w:tabs>
            <w:ind w:left="220"/>
          </w:pPr>
          <w:hyperlink w:history="1" w:anchor="_Toc20">
            <w:r>
              <w:t xml:space="preserve">8.2 Hardware requirements</w:t>
            </w:r>
            <w:r>
              <w:tab/>
            </w:r>
            <w:r>
              <w:fldChar w:fldCharType="begin" w:dirty="true"/>
              <w:instrText xml:space="preserve">PAGEREF _Toc20 \h</w:instrText>
              <w:fldChar w:fldCharType="separate"/>
              <w:fldChar w:fldCharType="end"/>
            </w:r>
          </w:hyperlink>
        </w:p>
        <w:p>
          <w:pPr>
            <w:pStyle w:val="TOC1"/>
            <w:tabs>
              <w:tab w:val="right" w:pos="9720" w:leader="dot"/>
            </w:tabs>
          </w:pPr>
          <w:hyperlink w:history="1" w:anchor="_Toc21">
            <w:r>
              <w:t xml:space="preserve">9. System Architecture</w:t>
            </w:r>
            <w:r>
              <w:tab/>
            </w:r>
            <w:r>
              <w:fldChar w:fldCharType="begin" w:dirty="true"/>
              <w:instrText xml:space="preserve">PAGEREF _Toc21 \h</w:instrText>
              <w:fldChar w:fldCharType="separate"/>
              <w:fldChar w:fldCharType="end"/>
            </w:r>
          </w:hyperlink>
        </w:p>
        <w:p>
          <w:pPr>
            <w:pStyle w:val="TOC1"/>
            <w:tabs>
              <w:tab w:val="right" w:pos="9720" w:leader="dot"/>
            </w:tabs>
          </w:pPr>
          <w:hyperlink w:history="1" w:anchor="_Toc22">
            <w:r>
              <w:t xml:space="preserve">10. Implementation Timeline</w:t>
            </w:r>
            <w:r>
              <w:tab/>
            </w:r>
            <w:r>
              <w:fldChar w:fldCharType="begin" w:dirty="true"/>
              <w:instrText xml:space="preserve">PAGEREF _Toc22 \h</w:instrText>
              <w:fldChar w:fldCharType="separate"/>
              <w:fldChar w:fldCharType="end"/>
            </w:r>
          </w:hyperlink>
        </w:p>
        <w:p>
          <w:pPr>
            <w:pStyle w:val="TOC1"/>
            <w:tabs>
              <w:tab w:val="right" w:pos="9720" w:leader="dot"/>
            </w:tabs>
          </w:pPr>
          <w:hyperlink w:history="1" w:anchor="_Toc23">
            <w:r>
              <w:t xml:space="preserve">11. Expected Outcomes</w:t>
            </w:r>
            <w:r>
              <w:tab/>
            </w:r>
            <w:r>
              <w:fldChar w:fldCharType="begin" w:dirty="true"/>
              <w:instrText xml:space="preserve">PAGEREF _Toc23 \h</w:instrText>
              <w:fldChar w:fldCharType="separate"/>
              <w:fldChar w:fldCharType="end"/>
            </w:r>
          </w:hyperlink>
        </w:p>
        <w:p>
          <w:pPr>
            <w:pStyle w:val="TOC1"/>
            <w:tabs>
              <w:tab w:val="right" w:pos="9720" w:leader="dot"/>
            </w:tabs>
          </w:pPr>
          <w:hyperlink w:history="1" w:anchor="_Toc24">
            <w:r>
              <w:t xml:space="preserve">12. Future Scope</w:t>
            </w:r>
            <w:r>
              <w:tab/>
            </w:r>
            <w:r>
              <w:fldChar w:fldCharType="begin" w:dirty="true"/>
              <w:instrText xml:space="preserve">PAGEREF _Toc24 \h</w:instrText>
              <w:fldChar w:fldCharType="separate"/>
              <w:fldChar w:fldCharType="end"/>
            </w:r>
          </w:hyperlink>
        </w:p>
        <w:p>
          <w:pPr>
            <w:pStyle w:val="TOC1"/>
            <w:tabs>
              <w:tab w:val="right" w:pos="9720" w:leader="dot"/>
            </w:tabs>
          </w:pPr>
          <w:hyperlink w:history="1" w:anchor="_Toc25">
            <w:r>
              <w:t xml:space="preserve">13. Challenges and Ethical Considerations</w:t>
            </w:r>
            <w:r>
              <w:tab/>
            </w:r>
            <w:r>
              <w:fldChar w:fldCharType="begin" w:dirty="true"/>
              <w:instrText xml:space="preserve">PAGEREF _Toc25 \h</w:instrText>
              <w:fldChar w:fldCharType="separate"/>
              <w:fldChar w:fldCharType="end"/>
            </w:r>
          </w:hyperlink>
        </w:p>
        <w:p>
          <w:pPr>
            <w:pStyle w:val="TOC2"/>
            <w:tabs>
              <w:tab w:val="right" w:pos="9720" w:leader="dot"/>
            </w:tabs>
            <w:ind w:left="220"/>
          </w:pPr>
          <w:hyperlink w:history="1" w:anchor="_Toc26">
            <w:r>
              <w:t xml:space="preserve">13.1 Technical challenges</w:t>
            </w:r>
            <w:r>
              <w:tab/>
            </w:r>
            <w:r>
              <w:fldChar w:fldCharType="begin" w:dirty="true"/>
              <w:instrText xml:space="preserve">PAGEREF _Toc26 \h</w:instrText>
              <w:fldChar w:fldCharType="separate"/>
              <w:fldChar w:fldCharType="end"/>
            </w:r>
          </w:hyperlink>
        </w:p>
        <w:p>
          <w:pPr>
            <w:pStyle w:val="TOC2"/>
            <w:tabs>
              <w:tab w:val="right" w:pos="9720" w:leader="dot"/>
            </w:tabs>
            <w:ind w:left="220"/>
          </w:pPr>
          <w:hyperlink w:history="1" w:anchor="_Toc27">
            <w:r>
              <w:t xml:space="preserve">13.2 Ethical considerations</w:t>
            </w:r>
            <w:r>
              <w:tab/>
            </w:r>
            <w:r>
              <w:fldChar w:fldCharType="begin" w:dirty="true"/>
              <w:instrText xml:space="preserve">PAGEREF _Toc27 \h</w:instrText>
              <w:fldChar w:fldCharType="separate"/>
              <w:fldChar w:fldCharType="end"/>
            </w:r>
          </w:hyperlink>
        </w:p>
        <w:p>
          <w:pPr>
            <w:pStyle w:val="TOC1"/>
            <w:tabs>
              <w:tab w:val="right" w:pos="9720" w:leader="dot"/>
            </w:tabs>
          </w:pPr>
          <w:hyperlink w:history="1" w:anchor="_Toc28">
            <w:r>
              <w:t xml:space="preserve">14. Conclusion</w:t>
            </w:r>
            <w:r>
              <w:tab/>
            </w:r>
            <w:r>
              <w:fldChar w:fldCharType="begin" w:dirty="true"/>
              <w:instrText xml:space="preserve">PAGEREF _Toc28 \h</w:instrText>
              <w:fldChar w:fldCharType="separate"/>
              <w:fldChar w:fldCharType="end"/>
            </w:r>
          </w:hyperlink>
        </w:p>
        <w:p>
          <w:pPr>
            <w:pStyle w:val="TOC1"/>
            <w:tabs>
              <w:tab w:val="right" w:pos="9720" w:leader="dot"/>
            </w:tabs>
          </w:pPr>
          <w:hyperlink w:history="1" w:anchor="_Toc29">
            <w:r>
              <w:t xml:space="preserve">References</w:t>
            </w:r>
            <w:r>
              <w:tab/>
            </w:r>
            <w:r>
              <w:fldChar w:fldCharType="begin" w:dirty="true"/>
              <w:instrText xml:space="preserve">PAGEREF _Toc29 \h</w:instrText>
              <w:fldChar w:fldCharType="separate"/>
              <w:fldChar w:fldCharType="end"/>
            </w:r>
          </w:hyperlink>
        </w:p>
        <w:p>
          <w:r>
            <w:fldChar w:fldCharType="end"/>
          </w:r>
        </w:p>
      </w:sdtContent>
    </w:sdt>
    <w:p>
      <w:r>
        <w:br w:type="page"/>
      </w:r>
    </w:p>
    <w:p>
      <w:pPr>
        <w:pStyle w:val="Heading1"/>
        <w:spacing w:after="180" w:before="360"/>
      </w:pPr>
      <w:bookmarkStart w:name="_Toc2" w:id="2"/>
      <w:r>
        <w:t xml:space="preserve">1. Project Title</w:t>
      </w:r>
      <w:bookmarkEnd w:id="2"/>
    </w:p>
    <w:p>
      <w:pPr>
        <w:spacing w:after="180" w:line="276"/>
        <w:jc w:val="both"/>
      </w:pPr>
      <w:r>
        <w:rPr>
          <w:sz w:val="22"/>
          <w:szCs w:val="22"/>
        </w:rPr>
        <w:t xml:space="preserve">Procura: An Operating-Systems-Inspired Task Scheduler with a RAG-Powered Self-Healing Layer. Procura treats a personal to-do list as a set of simulated operating-system processes, schedules those processes under six competing CPU-scheduling policies (including two -- EEVDF and MLFQ -- that are used in production operating systems rather than only taught as theory), measures the fairness of each policy quantitatively, and layers an AI-assisted, self-healing error-recovery subsystem on top that mirrors the detect-diagnose-remediate loop used in real Site Reliability Engineering (SRE) and AIOps practice.</w:t>
      </w:r>
    </w:p>
    <w:p>
      <w:pPr>
        <w:pStyle w:val="Heading1"/>
        <w:spacing w:after="180" w:before="360"/>
      </w:pPr>
      <w:bookmarkStart w:name="_Toc3" w:id="3"/>
      <w:r>
        <w:t xml:space="preserve">2. Introduction</w:t>
      </w:r>
      <w:bookmarkEnd w:id="3"/>
    </w:p>
    <w:p>
      <w:pPr>
        <w:spacing w:after="180" w:line="276"/>
        <w:jc w:val="both"/>
      </w:pPr>
      <w:r>
        <w:rPr>
          <w:sz w:val="22"/>
          <w:szCs w:val="22"/>
        </w:rPr>
        <w:t xml:space="preserve">Every general-purpose operating system must repeatedly decide which of several competing, runnable tasks gets access to a scarce shared resource -- the CPU -- next. This decision is formalised as CPU scheduling, and decades of operating-systems research have produced a family of scheduling policies (First-Come-First-Served, Shortest-Job-First, Priority scheduling, Round Robin, and, in modern Linux kernels, the Completely Fair Scheduler and its 2023-2024 successor EEVDF) along with the supporting machinery such policies require: a process state machine, a resource manager that tracks finite shared resources, and mechanisms to detect and recover from pathological conditions such as deadlock.</w:t>
      </w:r>
    </w:p>
    <w:p>
      <w:pPr>
        <w:spacing w:after="180" w:line="276"/>
        <w:jc w:val="both"/>
      </w:pPr>
      <w:r>
        <w:rPr>
          <w:sz w:val="22"/>
          <w:szCs w:val="22"/>
        </w:rPr>
        <w:t xml:space="preserve">Personal task management software, by contrast, has largely not borrowed this body of theory. Mainstream to-do applications order work using static, user-assigned labels ("High / Medium / Low" priority) with no principled account of how competing deadlines, waiting time, or resource cost should combine into an actual execution order, and they offer no automated explanation or recovery when something goes wrong -- a task silently stalls, or two dependent tasks block one another. Procura is built to close this gap directly: it reframes personal tasks as OS processes and applies real scheduling, resource-management, and self-healing theory to them, while adding a Retrieval-Augmented Generation (RAG) layer that can explain, in natural language and grounded in an actual operating-systems knowledge base, why the system behaved the way it did.</w:t>
      </w:r>
    </w:p>
    <w:p>
      <w:pPr>
        <w:spacing w:after="180" w:line="276"/>
        <w:jc w:val="both"/>
      </w:pPr>
      <w:r>
        <w:rPr>
          <w:sz w:val="22"/>
          <w:szCs w:val="22"/>
        </w:rPr>
        <w:t xml:space="preserve">This report documents Procura as a complete case study: the problem it addresses, the objectives it set out to satisfy, a survey of the real-world and academic systems it draws on, the system it proposes and implements, its architecture and methodology, the software actually built and tested (67 automated tests, all passing, at the time of writing), and an honest discussion of its limitations and future scope.</w:t>
      </w:r>
    </w:p>
    <w:p>
      <w:pPr>
        <w:pStyle w:val="Heading1"/>
        <w:spacing w:after="180" w:before="360"/>
      </w:pPr>
      <w:bookmarkStart w:name="_Toc4" w:id="4"/>
      <w:r>
        <w:t xml:space="preserve">3. Problem Statement</w:t>
      </w:r>
      <w:bookmarkEnd w:id="4"/>
    </w:p>
    <w:p>
      <w:pPr>
        <w:spacing w:after="180" w:line="276"/>
        <w:jc w:val="both"/>
      </w:pPr>
      <w:r>
        <w:rPr>
          <w:sz w:val="22"/>
          <w:szCs w:val="22"/>
        </w:rPr>
        <w:t xml:space="preserve">Two distinct but related problems motivate this project.</w:t>
      </w:r>
    </w:p>
    <w:p>
      <w:pPr>
        <w:pStyle w:val="Heading2"/>
        <w:spacing w:after="120" w:before="240"/>
      </w:pPr>
      <w:bookmarkStart w:name="_Toc5" w:id="5"/>
      <w:r>
        <w:t xml:space="preserve">3.1 Prioritisation in task managers is arbitrary, not computed</w:t>
      </w:r>
      <w:bookmarkEnd w:id="5"/>
    </w:p>
    <w:p>
      <w:pPr>
        <w:spacing w:after="180" w:line="276"/>
        <w:jc w:val="both"/>
      </w:pPr>
      <w:r>
        <w:rPr>
          <w:sz w:val="22"/>
          <w:szCs w:val="22"/>
        </w:rPr>
        <w:t xml:space="preserve">Conventional task-management tools ask the user to assign a priority label directly, and then sort or filter by that label. No computation combines deadline urgency, how long a task has been waiting, how "expensive" (in effort or resources) it is, or how fairly attention has been distributed across competing tasks over time. This is precisely the problem CPU scheduling theory was built to solve for processes contending for a CPU, and it is directly transferable.</w:t>
      </w:r>
    </w:p>
    <w:p>
      <w:pPr>
        <w:pStyle w:val="Heading2"/>
        <w:spacing w:after="120" w:before="240"/>
      </w:pPr>
      <w:bookmarkStart w:name="_Toc6" w:id="6"/>
      <w:r>
        <w:t xml:space="preserve">3.2 Failures in personal and small-team systems are rarely diagnosed, and never auto-recovered</w:t>
      </w:r>
      <w:bookmarkEnd w:id="6"/>
    </w:p>
    <w:p>
      <w:pPr>
        <w:spacing w:after="180" w:line="276"/>
        <w:jc w:val="both"/>
      </w:pPr>
      <w:r>
        <w:rPr>
          <w:sz w:val="22"/>
          <w:szCs w:val="22"/>
        </w:rPr>
        <w:t xml:space="preserve">When a task stalls, is blocked by another task, or a resource (time, budget, a dependency) is over-committed, conventional tools simply display a flag or a red label. There is no analogue of the detect → diagnose → remediate loop that modern IT operations teams rely on (Kubernetes self-healing controllers, AIOps platforms such as Datadog Watchdog and Dynatrace Davis AI, and the emerging body of LLM-based root-cause-analysis research) to explain *why* something failed and take a bounded, safe corrective action automatically.</w:t>
      </w:r>
    </w:p>
    <w:p>
      <w:pPr>
        <w:spacing w:after="180" w:line="276"/>
        <w:jc w:val="both"/>
      </w:pPr>
      <w:r>
        <w:rPr>
          <w:sz w:val="22"/>
          <w:szCs w:val="22"/>
        </w:rPr>
        <w:t xml:space="preserve">Procura's problem statement is therefore: can the scheduling, resource-management, and self-healing theory that production operating systems and modern SRE/AIOps platforms already use be faithfully adapted -- not just metaphorically, but with the same formulas, state machines, and architectural patterns -- to a personal task-management system, in a way that is both computationally principled and explainable to a non-expert user?</w:t>
      </w:r>
    </w:p>
    <w:p>
      <w:pPr>
        <w:pStyle w:val="Heading1"/>
        <w:spacing w:after="180" w:before="360"/>
      </w:pPr>
      <w:bookmarkStart w:name="_Toc7" w:id="7"/>
      <w:r>
        <w:t xml:space="preserve">4. Objectives</w:t>
      </w:r>
      <w:bookmarkEnd w:id="7"/>
    </w:p>
    <w:p>
      <w:pPr>
        <w:pStyle w:val="ListParagraph"/>
        <w:numPr>
          <w:ilvl w:val="0"/>
          <w:numId w:val="1"/>
        </w:numPr>
        <w:spacing w:after="90" w:line="276"/>
      </w:pPr>
      <w:r>
        <w:rPr>
          <w:sz w:val="22"/>
          <w:szCs w:val="22"/>
        </w:rPr>
        <w:t xml:space="preserve">Model each task as an OS-style process with a complete, enforced state machine: NEW → READY → RUNNING → (BLOCKED / COMPLETED) → TERMINATED.</w:t>
      </w:r>
    </w:p>
    <w:p>
      <w:pPr>
        <w:pStyle w:val="ListParagraph"/>
        <w:numPr>
          <w:ilvl w:val="0"/>
          <w:numId w:val="1"/>
        </w:numPr>
        <w:spacing w:after="90" w:line="276"/>
      </w:pPr>
      <w:r>
        <w:rPr>
          <w:sz w:val="22"/>
          <w:szCs w:val="22"/>
        </w:rPr>
        <w:t xml:space="preserve">Implement and compare six CPU-scheduling algorithms: FCFS, SJF, Priority, Round Robin, and the two production-grade algorithms EEVDF (Linux's default scheduler since kernel 6.6) and MLFQ (the canonical adaptive algorithm from Operating Systems: Three Easy Pieces).</w:t>
      </w:r>
    </w:p>
    <w:p>
      <w:pPr>
        <w:pStyle w:val="ListParagraph"/>
        <w:numPr>
          <w:ilvl w:val="0"/>
          <w:numId w:val="1"/>
        </w:numPr>
        <w:spacing w:after="90" w:line="276"/>
      </w:pPr>
      <w:r>
        <w:rPr>
          <w:sz w:val="22"/>
          <w:szCs w:val="22"/>
        </w:rPr>
        <w:t xml:space="preserve">Quantify, not just visualise, scheduling fairness using Jain's Fairness Index, computed uniformly across all six algorithms.</w:t>
      </w:r>
    </w:p>
    <w:p>
      <w:pPr>
        <w:pStyle w:val="ListParagraph"/>
        <w:numPr>
          <w:ilvl w:val="0"/>
          <w:numId w:val="1"/>
        </w:numPr>
        <w:spacing w:after="90" w:line="276"/>
      </w:pPr>
      <w:r>
        <w:rPr>
          <w:sz w:val="22"/>
          <w:szCs w:val="22"/>
        </w:rPr>
        <w:t xml:space="preserve">Extend static priority with a Slurm-style decaying fair-share term so that tasks/lists that have already consumed a disproportionate share of simulated CPU time are automatically de-prioritised.</w:t>
      </w:r>
    </w:p>
    <w:p>
      <w:pPr>
        <w:pStyle w:val="ListParagraph"/>
        <w:numPr>
          <w:ilvl w:val="0"/>
          <w:numId w:val="1"/>
        </w:numPr>
        <w:spacing w:after="90" w:line="276"/>
      </w:pPr>
      <w:r>
        <w:rPr>
          <w:sz w:val="22"/>
          <w:szCs w:val="22"/>
        </w:rPr>
        <w:t xml:space="preserve">Simulate five finite shared resources (CPU, memory, file handles, database connections, network bandwidth) with allocation/contention tracking, a lockdep-style lock-ordering violation checker, and timeout-based wait abort, alongside classical wait-for-graph deadlock cycle detection.</w:t>
      </w:r>
    </w:p>
    <w:p>
      <w:pPr>
        <w:pStyle w:val="ListParagraph"/>
        <w:numPr>
          <w:ilvl w:val="0"/>
          <w:numId w:val="1"/>
        </w:numPr>
        <w:spacing w:after="90" w:line="276"/>
      </w:pPr>
      <w:r>
        <w:rPr>
          <w:sz w:val="22"/>
          <w:szCs w:val="22"/>
        </w:rPr>
        <w:t xml:space="preserve">Build a Retrieval-Augmented Generation assistant that works fully offline (a hand-rolled TF-IDF retriever with zero paid dependency) and upgrades automatically to a live LLM (Groq / Anthropic / OpenAI) when a key is supplied, to explain scheduling decisions and operating-systems concepts grounded in a real knowledge base.</w:t>
      </w:r>
    </w:p>
    <w:p>
      <w:pPr>
        <w:pStyle w:val="ListParagraph"/>
        <w:numPr>
          <w:ilvl w:val="0"/>
          <w:numId w:val="1"/>
        </w:numPr>
        <w:spacing w:after="90" w:line="276"/>
      </w:pPr>
      <w:r>
        <w:rPr>
          <w:sz w:val="22"/>
          <w:szCs w:val="22"/>
        </w:rPr>
        <w:t xml:space="preserve">Replace naive fixed-threshold anomaly detection with three literature-grounded statistical methods -- EWMA, Modified Z-score, and CUSUM -- specified exactly per the NIST/SEMATECH Engineering Statistics Handbook.</w:t>
      </w:r>
    </w:p>
    <w:p>
      <w:pPr>
        <w:pStyle w:val="ListParagraph"/>
        <w:numPr>
          <w:ilvl w:val="0"/>
          <w:numId w:val="1"/>
        </w:numPr>
        <w:spacing w:after="90" w:line="276"/>
      </w:pPr>
      <w:r>
        <w:rPr>
          <w:sz w:val="22"/>
          <w:szCs w:val="22"/>
        </w:rPr>
        <w:t xml:space="preserve">Build a benchmarking module that replays synthetic Poisson-arrival workloads and real Standard Workload Format (SWF) traces through all six algorithms and reports standard, citable evaluation metrics.</w:t>
      </w:r>
    </w:p>
    <w:p>
      <w:pPr>
        <w:pStyle w:val="ListParagraph"/>
        <w:numPr>
          <w:ilvl w:val="0"/>
          <w:numId w:val="1"/>
        </w:numPr>
        <w:spacing w:after="90" w:line="276"/>
      </w:pPr>
      <w:r>
        <w:rPr>
          <w:sz w:val="22"/>
          <w:szCs w:val="22"/>
        </w:rPr>
        <w:t xml:space="preserve">Conduct a structured literature and industry survey to ground every one of the above design choices in a real, cited source, and document the result as a short technical report.</w:t>
      </w:r>
    </w:p>
    <w:p>
      <w:pPr>
        <w:pStyle w:val="Heading1"/>
        <w:spacing w:after="180" w:before="360"/>
      </w:pPr>
      <w:bookmarkStart w:name="_Toc8" w:id="8"/>
      <w:r>
        <w:t xml:space="preserve">5. Survey on Existing Work Related to the Project</w:t>
      </w:r>
      <w:bookmarkEnd w:id="8"/>
    </w:p>
    <w:p>
      <w:pPr>
        <w:spacing w:after="180" w:line="276"/>
        <w:jc w:val="both"/>
      </w:pPr>
      <w:r>
        <w:rPr>
          <w:sz w:val="22"/>
          <w:szCs w:val="22"/>
        </w:rPr>
        <w:t xml:space="preserve">A six-pronged research survey was conducted specifically to ground this project's design choices (the full report, with every claim individually source-linked, accompanies this submission as reports/Procura scheduling and AIOps research.md). The key findings are summarised below; full citations appear in the References section.</w:t>
      </w:r>
    </w:p>
    <w:p>
      <w:pPr>
        <w:pStyle w:val="Heading2"/>
        <w:spacing w:after="120" w:before="240"/>
      </w:pPr>
      <w:bookmarkStart w:name="_Toc9" w:id="9"/>
      <w:r>
        <w:t xml:space="preserve">5.1 Production CPU scheduling</w:t>
      </w:r>
      <w:bookmarkEnd w:id="9"/>
    </w:p>
    <w:p>
      <w:pPr>
        <w:spacing w:after="180" w:line="276"/>
        <w:jc w:val="both"/>
      </w:pPr>
      <w:r>
        <w:rPr>
          <w:sz w:val="22"/>
          <w:szCs w:val="22"/>
        </w:rPr>
        <w:t xml:space="preserve">Linux's Completely Fair Scheduler (CFS) ran from kernel 2.6.23 (2007) until it was replaced by EEVDF in kernel 6.6 (2023/2024) [1,2]. EEVDF tracks each task's lag relative to an ideal fair-share schedule and always dispatches the eligible task with the earliest virtual deadline. Operating Systems: Three Easy Pieces specifies the Multi-Level Feedback Queue (MLFQ) algorithm's five canonical rules, including a periodic priority boost that formally bounds starvation [5].</w:t>
      </w:r>
    </w:p>
    <w:p>
      <w:pPr>
        <w:pStyle w:val="Heading2"/>
        <w:spacing w:after="120" w:before="240"/>
      </w:pPr>
      <w:bookmarkStart w:name="_Toc10" w:id="10"/>
      <w:r>
        <w:t xml:space="preserve">5.2 Fairness and real-world job schedulers</w:t>
      </w:r>
      <w:bookmarkEnd w:id="10"/>
    </w:p>
    <w:p>
      <w:pPr>
        <w:spacing w:after="180" w:line="276"/>
        <w:jc w:val="both"/>
      </w:pPr>
      <w:r>
        <w:rPr>
          <w:sz w:val="22"/>
          <w:szCs w:val="22"/>
        </w:rPr>
        <w:t xml:space="preserve">Jain's Fairness Index, originating from a 1984 DEC technical report, gives an exact, unambiguous formula for comparing scheduler fairness, ranging from 1/n to 1 [6,7]. Slurm's HPC scheduler computes job priority as a weighted combination of normalised factors including a fair-share term that penalises accounts exceeding their historical allocation, with usage decaying over a configurable half-life [8,9]. Kubernetes' kube-scheduler formalises scheduling as a pluggable "scheduling framework" and explicitly separates priority (which drives preemption) from placement/bin-packing (how work is spread across capacity) [10]. Celery's ecosystem treats fine-grained numeric task priority as unreliable in practice, preferring coarse discrete tiers [11].</w:t>
      </w:r>
    </w:p>
    <w:p>
      <w:pPr>
        <w:pStyle w:val="Heading2"/>
        <w:spacing w:after="120" w:before="240"/>
      </w:pPr>
      <w:bookmarkStart w:name="_Toc11" w:id="11"/>
      <w:r>
        <w:t xml:space="preserve">5.3 AIOps, self-healing systems, and RAG-based diagnosis</w:t>
      </w:r>
      <w:bookmarkEnd w:id="11"/>
    </w:p>
    <w:p>
      <w:pPr>
        <w:spacing w:after="180" w:line="276"/>
        <w:jc w:val="both"/>
      </w:pPr>
      <w:r>
        <w:rPr>
          <w:sz w:val="22"/>
          <w:szCs w:val="22"/>
        </w:rPr>
        <w:t xml:space="preserve">Google's Site Reliability Engineering book formalises "toil" as manual, repetitive, automatable operational work and frames its automation as a core SRE mandate [12]. Kubernetes formalises the generic control-loop pattern underneath essentially every commercial AIOps platform's detect-diagnose-remediate cycle (Datadog Watchdog [13], Dynatrace Davis AI [14], New Relic Proactive Detection [15]). A substantial 2023-2025 literature validates LLM-based root-cause analysis specifically, including Microsoft's RCACopilot [16], a GPT-4 in-context-learning approach evaluated over 100,000+ production incidents [17], and SynergyRCA, which explicitly criticises flat, "topology-blind" document retrieval in favour of RAG over structured signals [19].</w:t>
      </w:r>
    </w:p>
    <w:p>
      <w:pPr>
        <w:pStyle w:val="Heading2"/>
        <w:spacing w:after="120" w:before="240"/>
      </w:pPr>
      <w:bookmarkStart w:name="_Toc12" w:id="12"/>
      <w:r>
        <w:t xml:space="preserve">5.4 Statistical anomaly detection</w:t>
      </w:r>
      <w:bookmarkEnd w:id="12"/>
    </w:p>
    <w:p>
      <w:pPr>
        <w:spacing w:after="180" w:line="276"/>
        <w:jc w:val="both"/>
      </w:pPr>
      <w:r>
        <w:rPr>
          <w:sz w:val="22"/>
          <w:szCs w:val="22"/>
        </w:rPr>
        <w:t xml:space="preserve">The NIST/SEMATECH Engineering Statistics Handbook provides exact, implementable formulas for three statistical process-control methods well suited to lightweight, non-ML anomaly detection: the Exponentially Weighted Moving Average (EWMA) [20], the Modified Z-score (median/MAD-based, explicitly preferred by NIST over the popular but less robust naive Z-score rule) [21], and the Cumulative Sum (CUSUM) changepoint method [22]. The same family of methods underlies real monitoring tools' anomaly bands, including Prometheus, Grafana, and AWS CloudWatch.</w:t>
      </w:r>
    </w:p>
    <w:p>
      <w:pPr>
        <w:pStyle w:val="Heading2"/>
        <w:spacing w:after="120" w:before="240"/>
      </w:pPr>
      <w:bookmarkStart w:name="_Toc13" w:id="13"/>
      <w:r>
        <w:t xml:space="preserve">5.5 Deadlock handling in real systems</w:t>
      </w:r>
      <w:bookmarkEnd w:id="13"/>
    </w:p>
    <w:p>
      <w:pPr>
        <w:spacing w:after="180" w:line="276"/>
        <w:jc w:val="both"/>
      </w:pPr>
      <w:r>
        <w:rPr>
          <w:sz w:val="22"/>
          <w:szCs w:val="22"/>
        </w:rPr>
        <w:t xml:space="preserve">A key, and somewhat surprising, survey finding is that Banker's Algorithm -- the canonical academic deadlock-avoidance algorithm -- has essentially no production footprint, because it requires advance knowledge of each process's maximum resource claim that real systems rarely have [23]. What production systems actually deploy instead spans a cost/precision spectrum: timestamp ordering (Google Spanner's wound-wait scheme) [24], fixed lock ordering enforced by tooling such as the Linux kernel's lockdep checker [25], timeout-based abort (MySQL's innodb_lock_wait_timeout) [26], and, at the expensive-but-precise end, timer-gated wait-for-graph cycle detection (PostgreSQL's deadlock_timeout, default one second) [27].</w:t>
      </w:r>
    </w:p>
    <w:p>
      <w:pPr>
        <w:pStyle w:val="Heading2"/>
        <w:spacing w:after="120" w:before="240"/>
      </w:pPr>
      <w:bookmarkStart w:name="_Toc14" w:id="14"/>
      <w:r>
        <w:t xml:space="preserve">5.6 Benchmark workloads and evaluation methodology</w:t>
      </w:r>
      <w:bookmarkEnd w:id="14"/>
    </w:p>
    <w:p>
      <w:pPr>
        <w:spacing w:after="180" w:line="276"/>
        <w:jc w:val="both"/>
      </w:pPr>
      <w:r>
        <w:rPr>
          <w:sz w:val="22"/>
          <w:szCs w:val="22"/>
        </w:rPr>
        <w:t xml:space="preserve">The Parallel Workloads Archive defines the Standard Workload Format (SWF), a flat, 18-field ASCII format used across roughly forty real system logs in published scheduling research [28]. The Lublin-Feitelson model is the field-standard synthetic workload generator, calibrated against real traces [29]. Standard evaluation metrics -- makespan, turnaround time, waiting time, utilisation, and Jain's Fairness Index -- are used consistently across this literature and by open-source scheduling simulators such as CloudSim and Batsim [30,31].</w:t>
      </w:r>
    </w:p>
    <w:p>
      <w:pPr>
        <w:pStyle w:val="Heading1"/>
        <w:spacing w:after="180" w:before="360"/>
      </w:pPr>
      <w:bookmarkStart w:name="_Toc15" w:id="15"/>
      <w:r>
        <w:t xml:space="preserve">6. Existing and Proposed Systems</w:t>
      </w:r>
      <w:bookmarkEnd w:id="15"/>
    </w:p>
    <w:p>
      <w:pPr>
        <w:spacing w:after="180" w:line="276"/>
        <w:jc w:val="both"/>
      </w:pPr>
      <w:r>
        <w:rPr>
          <w:sz w:val="22"/>
          <w:szCs w:val="22"/>
        </w:rPr>
        <w:t xml:space="preserve">Mainstream task-management tools (Todoist, Microsoft To Do, Trello, Asana) and classical academic OS-simulation student projects each solve only part of the problem Procura addresses. The table below contrasts them against Procura along the dimensions this project targets.</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2600"/>
        <w:gridCol w:w="3400"/>
        <w:gridCol w:w="3350"/>
      </w:tblGrid>
      <w:tr>
        <w:trPr>
          <w:tblHeader/>
        </w:trPr>
        <w:tc>
          <w:tcPr>
            <w:tcW w:type="dxa" w:w="2600"/>
            <w:shd w:fill="1f2937" w:val="clear"/>
            <w:tcMar>
              <w:top w:type="dxa" w:w="80"/>
              <w:left w:type="dxa" w:w="120"/>
              <w:bottom w:type="dxa" w:w="80"/>
              <w:right w:type="dxa" w:w="120"/>
            </w:tcMar>
            <w:vAlign w:val="center"/>
          </w:tcPr>
          <w:p>
            <w:pPr>
              <w:jc w:val="left"/>
            </w:pPr>
            <w:r>
              <w:rPr>
                <w:b/>
                <w:bCs/>
                <w:color w:val="FFFFFF"/>
                <w:sz w:val="19"/>
                <w:szCs w:val="19"/>
              </w:rPr>
              <w:t xml:space="preserve">Dimension</w:t>
            </w:r>
          </w:p>
        </w:tc>
        <w:tc>
          <w:tcPr>
            <w:tcW w:type="dxa" w:w="3400"/>
            <w:shd w:fill="1f2937" w:val="clear"/>
            <w:tcMar>
              <w:top w:type="dxa" w:w="80"/>
              <w:left w:type="dxa" w:w="120"/>
              <w:bottom w:type="dxa" w:w="80"/>
              <w:right w:type="dxa" w:w="120"/>
            </w:tcMar>
            <w:vAlign w:val="center"/>
          </w:tcPr>
          <w:p>
            <w:pPr>
              <w:jc w:val="left"/>
            </w:pPr>
            <w:r>
              <w:rPr>
                <w:b/>
                <w:bCs/>
                <w:color w:val="FFFFFF"/>
                <w:sz w:val="19"/>
                <w:szCs w:val="19"/>
              </w:rPr>
              <w:t xml:space="preserve">Existing systems</w:t>
            </w:r>
          </w:p>
        </w:tc>
        <w:tc>
          <w:tcPr>
            <w:tcW w:type="dxa" w:w="3350"/>
            <w:shd w:fill="1f2937" w:val="clear"/>
            <w:tcMar>
              <w:top w:type="dxa" w:w="80"/>
              <w:left w:type="dxa" w:w="120"/>
              <w:bottom w:type="dxa" w:w="80"/>
              <w:right w:type="dxa" w:w="120"/>
            </w:tcMar>
            <w:vAlign w:val="center"/>
          </w:tcPr>
          <w:p>
            <w:pPr>
              <w:jc w:val="left"/>
            </w:pPr>
            <w:r>
              <w:rPr>
                <w:b/>
                <w:bCs/>
                <w:color w:val="FFFFFF"/>
                <w:sz w:val="19"/>
                <w:szCs w:val="19"/>
              </w:rPr>
              <w:t xml:space="preserve">Procura (proposed)</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Prioritisation basis</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Static, user-assigned label; no computation</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Six computed scheduling policies incl. production-grade EEVDF/MLFQ, plus a Slurm-style decaying fair-share formula</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Fairness measurement</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None</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Jain's Fairness Index computed per algorithm</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Explainability</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None, or generic help text</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RAG assistant grounded in a real OS knowledge base and live process state</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Failure handling</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Manual flag / red label only</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Automated statistical anomaly detection (EWMA/Modified Z/CUSUM) → AI diagnosis → rule-based recovery, logged end-to-end</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Deadlock / contention handling</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Not modelled</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Simulated resource manager with lock-ordering checks, timeout abort, and wait-for-graph cycle detection</w:t>
            </w:r>
          </w:p>
        </w:tc>
      </w:tr>
      <w:tr>
        <w:tc>
          <w:tcPr>
            <w:tcW w:type="dxa" w:w="2600"/>
            <w:tcMar>
              <w:top w:type="dxa" w:w="80"/>
              <w:left w:type="dxa" w:w="120"/>
              <w:bottom w:type="dxa" w:w="80"/>
              <w:right w:type="dxa" w:w="120"/>
            </w:tcMar>
            <w:vAlign w:val="center"/>
          </w:tcPr>
          <w:p>
            <w:pPr>
              <w:jc w:val="left"/>
            </w:pPr>
            <w:r>
              <w:rPr>
                <w:b w:val="false"/>
                <w:bCs w:val="false"/>
                <w:color w:val="111111"/>
                <w:sz w:val="19"/>
                <w:szCs w:val="19"/>
              </w:rPr>
              <w:t xml:space="preserve">Typical student OS project</w:t>
            </w:r>
          </w:p>
        </w:tc>
        <w:tc>
          <w:tcPr>
            <w:tcW w:type="dxa" w:w="3400"/>
            <w:tcMar>
              <w:top w:type="dxa" w:w="80"/>
              <w:left w:type="dxa" w:w="120"/>
              <w:bottom w:type="dxa" w:w="80"/>
              <w:right w:type="dxa" w:w="120"/>
            </w:tcMar>
            <w:vAlign w:val="center"/>
          </w:tcPr>
          <w:p>
            <w:pPr>
              <w:jc w:val="left"/>
            </w:pPr>
            <w:r>
              <w:rPr>
                <w:b w:val="false"/>
                <w:bCs w:val="false"/>
                <w:color w:val="111111"/>
                <w:sz w:val="19"/>
                <w:szCs w:val="19"/>
              </w:rPr>
              <w:t xml:space="preserve">CRUD + a single textbook algorithm, rarely benchmarked</w:t>
            </w:r>
          </w:p>
        </w:tc>
        <w:tc>
          <w:tcPr>
            <w:tcW w:type="dxa" w:w="3350"/>
            <w:tcMar>
              <w:top w:type="dxa" w:w="80"/>
              <w:left w:type="dxa" w:w="120"/>
              <w:bottom w:type="dxa" w:w="80"/>
              <w:right w:type="dxa" w:w="120"/>
            </w:tcMar>
            <w:vAlign w:val="center"/>
          </w:tcPr>
          <w:p>
            <w:pPr>
              <w:jc w:val="left"/>
            </w:pPr>
            <w:r>
              <w:rPr>
                <w:b w:val="false"/>
                <w:bCs w:val="false"/>
                <w:color w:val="111111"/>
                <w:sz w:val="19"/>
                <w:szCs w:val="19"/>
              </w:rPr>
              <w:t xml:space="preserve">Six algorithms benchmarked against synthetic and SWF-format workloads with standard metrics</w:t>
            </w:r>
          </w:p>
        </w:tc>
      </w:tr>
      <w:tr>
        <w:tc>
          <w:tcPr>
            <w:tcW w:type="dxa" w:w="26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Cost / openness</w:t>
            </w:r>
          </w:p>
        </w:tc>
        <w:tc>
          <w:tcPr>
            <w:tcW w:type="dxa" w:w="34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Often proprietary SaaS, requires an account</w:t>
            </w:r>
          </w:p>
        </w:tc>
        <w:tc>
          <w:tcPr>
            <w:tcW w:type="dxa" w:w="33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Local-first, offline-capable by default, zero mandatory paid dependency, open-source</w:t>
            </w:r>
          </w:p>
        </w:tc>
      </w:tr>
    </w:tbl>
    <w:p>
      <w:pPr>
        <w:spacing w:after="280" w:before="100"/>
        <w:jc w:val="center"/>
      </w:pPr>
      <w:r>
        <w:rPr>
          <w:i/>
          <w:iCs/>
          <w:color w:val="555555"/>
          <w:sz w:val="19"/>
          <w:szCs w:val="19"/>
        </w:rPr>
        <w:t xml:space="preserve">Table 1. Existing task-management and OS-simulation approaches versus Procura.</w:t>
      </w:r>
    </w:p>
    <w:p>
      <w:pPr>
        <w:pStyle w:val="Heading1"/>
        <w:spacing w:after="180" w:before="360"/>
      </w:pPr>
      <w:bookmarkStart w:name="_Toc16" w:id="16"/>
      <w:r>
        <w:t xml:space="preserve">7. Methodology</w:t>
      </w:r>
      <w:bookmarkEnd w:id="16"/>
    </w:p>
    <w:p>
      <w:pPr>
        <w:spacing w:after="180" w:line="276"/>
        <w:jc w:val="both"/>
      </w:pPr>
      <w:r>
        <w:rPr>
          <w:sz w:val="22"/>
          <w:szCs w:val="22"/>
        </w:rPr>
        <w:t xml:space="preserve">Procura follows a single, consistent request lifecycle for every user action, shown in Figure 1. A task submitted through the frontend is validated, converted into a process record by the Process Manager, persisted, and then made available to the Scheduler, Resource Manager, and the statistical anomaly Detector. When an anomaly (a burst-time overrun, a memory-allocation failure, or a deadlock cycle) is found, the Diagnosis Engine calls the RAG assistant to produce a grounded, natural-language explanation, and the Recovery Engine executes one of four fixed, auditable scripts (suspend, retry, restart, terminate) rather than an open-ended, LLM-generated action -- mirroring the industry-standard safety pattern of pre-vetted, deterministic remediation runbooks used by tools such as AWS Systems Manager and PagerDuty Runbook Automation.</w:t>
      </w:r>
    </w:p>
    <w:p>
      <w:pPr>
        <w:spacing w:before="200"/>
        <w:jc w:val="center"/>
      </w:pPr>
      <w:r>
        <w:drawing>
          <wp:inline distT="0" distB="0" distL="0" distR="0">
            <wp:extent cx="409575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5867400"/>
                    </a:xfrm>
                    <a:prstGeom prst="rect">
                      <a:avLst/>
                    </a:prstGeom>
                  </pic:spPr>
                </pic:pic>
              </a:graphicData>
            </a:graphic>
          </wp:inline>
        </w:drawing>
      </w:r>
    </w:p>
    <w:p>
      <w:pPr>
        <w:spacing w:after="280" w:before="100"/>
        <w:jc w:val="center"/>
      </w:pPr>
      <w:r>
        <w:rPr>
          <w:i/>
          <w:iCs/>
          <w:color w:val="555555"/>
          <w:sz w:val="19"/>
          <w:szCs w:val="19"/>
        </w:rPr>
        <w:t xml:space="preserve">Figure 1. Procura's end-to-end request lifecycle.</w:t>
      </w:r>
    </w:p>
    <w:p>
      <w:pPr>
        <w:pStyle w:val="Heading2"/>
        <w:spacing w:after="120" w:before="240"/>
      </w:pPr>
      <w:bookmarkStart w:name="_Toc17" w:id="17"/>
      <w:r>
        <w:t xml:space="preserve">7.1 Evaluation methodology</w:t>
      </w:r>
      <w:bookmarkEnd w:id="17"/>
    </w:p>
    <w:p>
      <w:pPr>
        <w:spacing w:after="180" w:line="276"/>
        <w:jc w:val="both"/>
      </w:pPr>
      <w:r>
        <w:rPr>
          <w:sz w:val="22"/>
          <w:szCs w:val="22"/>
        </w:rPr>
        <w:t xml:space="preserve">To make the comparison between the six scheduling algorithms rigorous rather than impressionistic, Procura includes a dedicated benchmarking module. It generates a synthetic workload using a Poisson arrival process (exponentially distributed inter-arrival times) with Gamma-distributed burst times -- a documented simplification of the field-standard Lublin-Feitelson model -- and can alternatively replay a real trace supplied in the Standard Workload Format. Every one of the six algorithms is then run against the identical workload, and the standard metric set (makespan, average turnaround time, average waiting time, utilisation, Jain's Fairness Index, and a self-defined starvation metric) is computed and compared.</w:t>
      </w:r>
    </w:p>
    <w:p>
      <w:pPr>
        <w:pStyle w:val="Heading1"/>
        <w:spacing w:after="180" w:before="360"/>
      </w:pPr>
      <w:bookmarkStart w:name="_Toc18" w:id="18"/>
      <w:r>
        <w:t xml:space="preserve">8. Software and Hardware Requirements</w:t>
      </w:r>
      <w:bookmarkEnd w:id="18"/>
    </w:p>
    <w:p>
      <w:pPr>
        <w:pStyle w:val="Heading2"/>
        <w:spacing w:after="120" w:before="240"/>
      </w:pPr>
      <w:bookmarkStart w:name="_Toc19" w:id="19"/>
      <w:r>
        <w:t xml:space="preserve">8.1 Software requirements</w:t>
      </w:r>
      <w:bookmarkEnd w:id="19"/>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3200"/>
        <w:gridCol w:w="6150"/>
      </w:tblGrid>
      <w:tr>
        <w:trPr>
          <w:tblHeader/>
        </w:trPr>
        <w:tc>
          <w:tcPr>
            <w:tcW w:type="dxa" w:w="3200"/>
            <w:shd w:fill="1f2937" w:val="clear"/>
            <w:tcMar>
              <w:top w:type="dxa" w:w="80"/>
              <w:left w:type="dxa" w:w="120"/>
              <w:bottom w:type="dxa" w:w="80"/>
              <w:right w:type="dxa" w:w="120"/>
            </w:tcMar>
            <w:vAlign w:val="center"/>
          </w:tcPr>
          <w:p>
            <w:pPr>
              <w:jc w:val="left"/>
            </w:pPr>
            <w:r>
              <w:rPr>
                <w:b/>
                <w:bCs/>
                <w:color w:val="FFFFFF"/>
                <w:sz w:val="19"/>
                <w:szCs w:val="19"/>
              </w:rPr>
              <w:t xml:space="preserve">Component</w:t>
            </w:r>
          </w:p>
        </w:tc>
        <w:tc>
          <w:tcPr>
            <w:tcW w:type="dxa" w:w="6150"/>
            <w:shd w:fill="1f2937" w:val="clear"/>
            <w:tcMar>
              <w:top w:type="dxa" w:w="80"/>
              <w:left w:type="dxa" w:w="120"/>
              <w:bottom w:type="dxa" w:w="80"/>
              <w:right w:type="dxa" w:w="120"/>
            </w:tcMar>
            <w:vAlign w:val="center"/>
          </w:tcPr>
          <w:p>
            <w:pPr>
              <w:jc w:val="left"/>
            </w:pPr>
            <w:r>
              <w:rPr>
                <w:b/>
                <w:bCs/>
                <w:color w:val="FFFFFF"/>
                <w:sz w:val="19"/>
                <w:szCs w:val="19"/>
              </w:rPr>
              <w:t xml:space="preserve">Requirement</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Backend language / runtime</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Python 3.11 or later</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Backend framework</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FastAPI, served by Uvicorn</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Database</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SQLite (file-based, bundled with Python's standard library)</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Frontend framework</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React 18, built with Vite</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Styling / charts</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Tailwind CSS; Recharts for the Gantt chart and metric visualisations</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Terminal dashboard</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Python, using the rich library</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Testing</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pytest and FastAPI's TestClient (67 automated tests)</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Optional LLM provider</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Groq, Anthropic, or OpenAI API key (entirely optional — the system runs fully offline without one)</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Version control</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Git, hosted on GitHub</w:t>
            </w:r>
          </w:p>
        </w:tc>
      </w:tr>
    </w:tbl>
    <w:p>
      <w:pPr>
        <w:pStyle w:val="Heading2"/>
        <w:spacing w:after="120" w:before="240"/>
      </w:pPr>
      <w:bookmarkStart w:name="_Toc20" w:id="20"/>
      <w:r>
        <w:t xml:space="preserve">8.2 Hardware requirements</w:t>
      </w:r>
      <w:bookmarkEnd w:id="20"/>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3200"/>
        <w:gridCol w:w="6150"/>
      </w:tblGrid>
      <w:tr>
        <w:trPr>
          <w:tblHeader/>
        </w:trPr>
        <w:tc>
          <w:tcPr>
            <w:tcW w:type="dxa" w:w="3200"/>
            <w:shd w:fill="1f2937" w:val="clear"/>
            <w:tcMar>
              <w:top w:type="dxa" w:w="80"/>
              <w:left w:type="dxa" w:w="120"/>
              <w:bottom w:type="dxa" w:w="80"/>
              <w:right w:type="dxa" w:w="120"/>
            </w:tcMar>
            <w:vAlign w:val="center"/>
          </w:tcPr>
          <w:p>
            <w:pPr>
              <w:jc w:val="left"/>
            </w:pPr>
            <w:r>
              <w:rPr>
                <w:b/>
                <w:bCs/>
                <w:color w:val="FFFFFF"/>
                <w:sz w:val="19"/>
                <w:szCs w:val="19"/>
              </w:rPr>
              <w:t xml:space="preserve">Resource</w:t>
            </w:r>
          </w:p>
        </w:tc>
        <w:tc>
          <w:tcPr>
            <w:tcW w:type="dxa" w:w="6150"/>
            <w:shd w:fill="1f2937" w:val="clear"/>
            <w:tcMar>
              <w:top w:type="dxa" w:w="80"/>
              <w:left w:type="dxa" w:w="120"/>
              <w:bottom w:type="dxa" w:w="80"/>
              <w:right w:type="dxa" w:w="120"/>
            </w:tcMar>
            <w:vAlign w:val="center"/>
          </w:tcPr>
          <w:p>
            <w:pPr>
              <w:jc w:val="left"/>
            </w:pPr>
            <w:r>
              <w:rPr>
                <w:b/>
                <w:bCs/>
                <w:color w:val="FFFFFF"/>
                <w:sz w:val="19"/>
                <w:szCs w:val="19"/>
              </w:rPr>
              <w:t xml:space="preserve">Minimum</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Processor</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Any modern dual-core CPU (x86-64 or ARM64)</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Memory (RAM)</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4 GB (the application itself uses well under 500 MB)</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Storage</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Under 300 MB for source, dependencies, and the SQLite database</w:t>
            </w:r>
          </w:p>
        </w:tc>
      </w:tr>
      <w:tr>
        <w:tc>
          <w:tcPr>
            <w:tcW w:type="dxa" w:w="32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GPU</w:t>
            </w:r>
          </w:p>
        </w:tc>
        <w:tc>
          <w:tcPr>
            <w:tcW w:type="dxa" w:w="61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Not required — no local model training or inference occurs</w:t>
            </w:r>
          </w:p>
        </w:tc>
      </w:tr>
      <w:tr>
        <w:tc>
          <w:tcPr>
            <w:tcW w:type="dxa" w:w="3200"/>
            <w:tcMar>
              <w:top w:type="dxa" w:w="80"/>
              <w:left w:type="dxa" w:w="120"/>
              <w:bottom w:type="dxa" w:w="80"/>
              <w:right w:type="dxa" w:w="120"/>
            </w:tcMar>
            <w:vAlign w:val="center"/>
          </w:tcPr>
          <w:p>
            <w:pPr>
              <w:jc w:val="left"/>
            </w:pPr>
            <w:r>
              <w:rPr>
                <w:b w:val="false"/>
                <w:bCs w:val="false"/>
                <w:color w:val="111111"/>
                <w:sz w:val="19"/>
                <w:szCs w:val="19"/>
              </w:rPr>
              <w:t xml:space="preserve">Network</w:t>
            </w:r>
          </w:p>
        </w:tc>
        <w:tc>
          <w:tcPr>
            <w:tcW w:type="dxa" w:w="6150"/>
            <w:tcMar>
              <w:top w:type="dxa" w:w="80"/>
              <w:left w:type="dxa" w:w="120"/>
              <w:bottom w:type="dxa" w:w="80"/>
              <w:right w:type="dxa" w:w="120"/>
            </w:tcMar>
            <w:vAlign w:val="center"/>
          </w:tcPr>
          <w:p>
            <w:pPr>
              <w:jc w:val="left"/>
            </w:pPr>
            <w:r>
              <w:rPr>
                <w:b w:val="false"/>
                <w:bCs w:val="false"/>
                <w:color w:val="111111"/>
                <w:sz w:val="19"/>
                <w:szCs w:val="19"/>
              </w:rPr>
              <w:t xml:space="preserve">Optional — only needed if a live LLM provider key is configured</w:t>
            </w:r>
          </w:p>
        </w:tc>
      </w:tr>
    </w:tbl>
    <w:p>
      <w:pPr>
        <w:pStyle w:val="Heading1"/>
        <w:spacing w:after="180" w:before="360"/>
      </w:pPr>
      <w:bookmarkStart w:name="_Toc21" w:id="21"/>
      <w:r>
        <w:t xml:space="preserve">9. System Architecture</w:t>
      </w:r>
      <w:bookmarkEnd w:id="21"/>
    </w:p>
    <w:p>
      <w:pPr>
        <w:spacing w:after="180" w:line="276"/>
        <w:jc w:val="both"/>
      </w:pPr>
      <w:r>
        <w:rPr>
          <w:sz w:val="22"/>
          <w:szCs w:val="22"/>
        </w:rPr>
        <w:t xml:space="preserve">Procura is organised into a frontend, a single FastAPI backend, four cooperating backend subsystems, and a single SQLite database as the shared source of truth, shown in Figure 2. The Process Manager owns the process state machine; the Scheduler implements all six algorithms and Jain's Fairness Index; the Resource Manager tracks five simulated resource pools and performs lock-order and timeout checks; and the Error &amp; Recovery Engine performs statistical anomaly detection, calls the RAG Engine for diagnosis, and executes bounded recovery actions. A companion benchmarking module and a `rich`-based terminal dashboard (`procura_top`) consume the same backend API as the web frontend.</w:t>
      </w:r>
    </w:p>
    <w:p>
      <w:pPr>
        <w:spacing w:before="200"/>
        <w:jc w:val="center"/>
      </w:pPr>
      <w:r>
        <w:drawing>
          <wp:inline distT="0" distB="0" distL="0" distR="0">
            <wp:extent cx="5524500" cy="4191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4191000"/>
                    </a:xfrm>
                    <a:prstGeom prst="rect">
                      <a:avLst/>
                    </a:prstGeom>
                  </pic:spPr>
                </pic:pic>
              </a:graphicData>
            </a:graphic>
          </wp:inline>
        </w:drawing>
      </w:r>
    </w:p>
    <w:p>
      <w:pPr>
        <w:spacing w:after="280" w:before="100"/>
        <w:jc w:val="center"/>
      </w:pPr>
      <w:r>
        <w:rPr>
          <w:i/>
          <w:iCs/>
          <w:color w:val="555555"/>
          <w:sz w:val="19"/>
          <w:szCs w:val="19"/>
        </w:rPr>
        <w:t xml:space="preserve">Figure 2. Procura system architecture.</w:t>
      </w:r>
    </w:p>
    <w:p>
      <w:pPr>
        <w:spacing w:after="180" w:line="276"/>
        <w:jc w:val="both"/>
      </w:pPr>
      <w:r>
        <w:rPr>
          <w:sz w:val="22"/>
          <w:szCs w:val="22"/>
        </w:rPr>
        <w:t xml:space="preserve">No authentication, container orchestration, or cloud infrastructure is included by design: Procura is a single-user, local-first application, and this scope decision is made explicit throughout the codebase and its tests rather than left implicit.</w:t>
      </w:r>
    </w:p>
    <w:p>
      <w:pPr>
        <w:pStyle w:val="Heading1"/>
        <w:spacing w:after="180" w:before="360"/>
      </w:pPr>
      <w:bookmarkStart w:name="_Toc22" w:id="22"/>
      <w:r>
        <w:t xml:space="preserve">10. Implementation Timeline</w:t>
      </w:r>
      <w:bookmarkEnd w:id="22"/>
    </w:p>
    <w:p>
      <w:pPr>
        <w:spacing w:after="180" w:line="276"/>
        <w:jc w:val="both"/>
      </w:pPr>
      <w:r>
        <w:rPr>
          <w:sz w:val="22"/>
          <w:szCs w:val="22"/>
        </w:rPr>
        <w:t xml:space="preserve">The project was planned and executed in eight phases, each producing a demonstrable increment:</w:t>
      </w:r>
    </w:p>
    <w:tbl>
      <w:tblPr>
        <w:tblW w:type="dxa" w:w="9350"/>
        <w:tblBorders>
          <w:top w:val="single" w:color="999999" w:sz="2"/>
          <w:left w:val="single" w:color="999999" w:sz="2"/>
          <w:bottom w:val="single" w:color="999999" w:sz="2"/>
          <w:right w:val="single" w:color="999999" w:sz="2"/>
          <w:insideH w:val="single" w:color="CCCCCC" w:sz="1"/>
          <w:insideV w:val="single" w:color="CCCCCC" w:sz="1"/>
        </w:tblBorders>
      </w:tblPr>
      <w:tblGrid>
        <w:gridCol w:w="2300"/>
        <w:gridCol w:w="7050"/>
      </w:tblGrid>
      <w:tr>
        <w:trPr>
          <w:tblHeader/>
        </w:trPr>
        <w:tc>
          <w:tcPr>
            <w:tcW w:type="dxa" w:w="2300"/>
            <w:shd w:fill="1f2937" w:val="clear"/>
            <w:tcMar>
              <w:top w:type="dxa" w:w="80"/>
              <w:left w:type="dxa" w:w="120"/>
              <w:bottom w:type="dxa" w:w="80"/>
              <w:right w:type="dxa" w:w="120"/>
            </w:tcMar>
            <w:vAlign w:val="center"/>
          </w:tcPr>
          <w:p>
            <w:pPr>
              <w:jc w:val="left"/>
            </w:pPr>
            <w:r>
              <w:rPr>
                <w:b/>
                <w:bCs/>
                <w:color w:val="FFFFFF"/>
                <w:sz w:val="19"/>
                <w:szCs w:val="19"/>
              </w:rPr>
              <w:t xml:space="preserve">Phase</w:t>
            </w:r>
          </w:p>
        </w:tc>
        <w:tc>
          <w:tcPr>
            <w:tcW w:type="dxa" w:w="7050"/>
            <w:shd w:fill="1f2937" w:val="clear"/>
            <w:tcMar>
              <w:top w:type="dxa" w:w="80"/>
              <w:left w:type="dxa" w:w="120"/>
              <w:bottom w:type="dxa" w:w="80"/>
              <w:right w:type="dxa" w:w="120"/>
            </w:tcMar>
            <w:vAlign w:val="center"/>
          </w:tcPr>
          <w:p>
            <w:pPr>
              <w:jc w:val="left"/>
            </w:pPr>
            <w:r>
              <w:rPr>
                <w:b/>
                <w:bCs/>
                <w:color w:val="FFFFFF"/>
                <w:sz w:val="19"/>
                <w:szCs w:val="19"/>
              </w:rPr>
              <w:t xml:space="preserve">Deliverable</w:t>
            </w:r>
          </w:p>
        </w:tc>
      </w:tr>
      <w:tr>
        <w:tc>
          <w:tcPr>
            <w:tcW w:type="dxa" w:w="2300"/>
            <w:tcMar>
              <w:top w:type="dxa" w:w="80"/>
              <w:left w:type="dxa" w:w="120"/>
              <w:bottom w:type="dxa" w:w="80"/>
              <w:right w:type="dxa" w:w="120"/>
            </w:tcMar>
            <w:vAlign w:val="center"/>
          </w:tcPr>
          <w:p>
            <w:pPr>
              <w:jc w:val="left"/>
            </w:pPr>
            <w:r>
              <w:rPr>
                <w:b w:val="false"/>
                <w:bCs w:val="false"/>
                <w:color w:val="111111"/>
                <w:sz w:val="19"/>
                <w:szCs w:val="19"/>
              </w:rPr>
              <w:t xml:space="preserve">Week 1</w:t>
            </w:r>
          </w:p>
        </w:tc>
        <w:tc>
          <w:tcPr>
            <w:tcW w:type="dxa" w:w="7050"/>
            <w:tcMar>
              <w:top w:type="dxa" w:w="80"/>
              <w:left w:type="dxa" w:w="120"/>
              <w:bottom w:type="dxa" w:w="80"/>
              <w:right w:type="dxa" w:w="120"/>
            </w:tcMar>
            <w:vAlign w:val="center"/>
          </w:tcPr>
          <w:p>
            <w:pPr>
              <w:jc w:val="left"/>
            </w:pPr>
            <w:r>
              <w:rPr>
                <w:b w:val="false"/>
                <w:bCs w:val="false"/>
                <w:color w:val="111111"/>
                <w:sz w:val="19"/>
                <w:szCs w:val="19"/>
              </w:rPr>
              <w:t xml:space="preserve">Project scoping, design document, codebase skeleton, SQLite schema, process state machine (NEW → READY → RUNNING → BLOCKED/COMPLETED → TERMINATED)</w:t>
            </w:r>
          </w:p>
        </w:tc>
      </w:tr>
      <w:tr>
        <w:tc>
          <w:tcPr>
            <w:tcW w:type="dxa" w:w="23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Week 2</w:t>
            </w:r>
          </w:p>
        </w:tc>
        <w:tc>
          <w:tcPr>
            <w:tcW w:type="dxa" w:w="7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FCFS, SJF, Priority, and Round Robin scheduling, Gantt-chart data generation, core metrics (completion, turnaround, waiting, response time)</w:t>
            </w:r>
          </w:p>
        </w:tc>
      </w:tr>
      <w:tr>
        <w:tc>
          <w:tcPr>
            <w:tcW w:type="dxa" w:w="2300"/>
            <w:tcMar>
              <w:top w:type="dxa" w:w="80"/>
              <w:left w:type="dxa" w:w="120"/>
              <w:bottom w:type="dxa" w:w="80"/>
              <w:right w:type="dxa" w:w="120"/>
            </w:tcMar>
            <w:vAlign w:val="center"/>
          </w:tcPr>
          <w:p>
            <w:pPr>
              <w:jc w:val="left"/>
            </w:pPr>
            <w:r>
              <w:rPr>
                <w:b w:val="false"/>
                <w:bCs w:val="false"/>
                <w:color w:val="111111"/>
                <w:sz w:val="19"/>
                <w:szCs w:val="19"/>
              </w:rPr>
              <w:t xml:space="preserve">Week 3</w:t>
            </w:r>
          </w:p>
        </w:tc>
        <w:tc>
          <w:tcPr>
            <w:tcW w:type="dxa" w:w="7050"/>
            <w:tcMar>
              <w:top w:type="dxa" w:w="80"/>
              <w:left w:type="dxa" w:w="120"/>
              <w:bottom w:type="dxa" w:w="80"/>
              <w:right w:type="dxa" w:w="120"/>
            </w:tcMar>
            <w:vAlign w:val="center"/>
          </w:tcPr>
          <w:p>
            <w:pPr>
              <w:jc w:val="left"/>
            </w:pPr>
            <w:r>
              <w:rPr>
                <w:b w:val="false"/>
                <w:bCs w:val="false"/>
                <w:color w:val="111111"/>
                <w:sz w:val="19"/>
                <w:szCs w:val="19"/>
              </w:rPr>
              <w:t xml:space="preserve">Resource Manager (CPU/memory/file/database/network pools), wait-for-graph deadlock detection</w:t>
            </w:r>
          </w:p>
        </w:tc>
      </w:tr>
      <w:tr>
        <w:tc>
          <w:tcPr>
            <w:tcW w:type="dxa" w:w="23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Week 4</w:t>
            </w:r>
          </w:p>
        </w:tc>
        <w:tc>
          <w:tcPr>
            <w:tcW w:type="dxa" w:w="7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Offline-first RAG pipeline: knowledge-base authoring, TF-IDF retrieval, optional live-LLM integration (Groq/Anthropic/OpenAI)</w:t>
            </w:r>
          </w:p>
        </w:tc>
      </w:tr>
      <w:tr>
        <w:tc>
          <w:tcPr>
            <w:tcW w:type="dxa" w:w="2300"/>
            <w:tcMar>
              <w:top w:type="dxa" w:w="80"/>
              <w:left w:type="dxa" w:w="120"/>
              <w:bottom w:type="dxa" w:w="80"/>
              <w:right w:type="dxa" w:w="120"/>
            </w:tcMar>
            <w:vAlign w:val="center"/>
          </w:tcPr>
          <w:p>
            <w:pPr>
              <w:jc w:val="left"/>
            </w:pPr>
            <w:r>
              <w:rPr>
                <w:b w:val="false"/>
                <w:bCs w:val="false"/>
                <w:color w:val="111111"/>
                <w:sz w:val="19"/>
                <w:szCs w:val="19"/>
              </w:rPr>
              <w:t xml:space="preserve">Week 5</w:t>
            </w:r>
          </w:p>
        </w:tc>
        <w:tc>
          <w:tcPr>
            <w:tcW w:type="dxa" w:w="7050"/>
            <w:tcMar>
              <w:top w:type="dxa" w:w="80"/>
              <w:left w:type="dxa" w:w="120"/>
              <w:bottom w:type="dxa" w:w="80"/>
              <w:right w:type="dxa" w:w="120"/>
            </w:tcMar>
            <w:vAlign w:val="center"/>
          </w:tcPr>
          <w:p>
            <w:pPr>
              <w:jc w:val="left"/>
            </w:pPr>
            <w:r>
              <w:rPr>
                <w:b w:val="false"/>
                <w:bCs w:val="false"/>
                <w:color w:val="111111"/>
                <w:sz w:val="19"/>
                <w:szCs w:val="19"/>
              </w:rPr>
              <w:t xml:space="preserve">Error detection, AI diagnosis, and rule-based recovery engine; React dashboard and the five frontend screens; `procura_top` terminal dashboard</w:t>
            </w:r>
          </w:p>
        </w:tc>
      </w:tr>
      <w:tr>
        <w:tc>
          <w:tcPr>
            <w:tcW w:type="dxa" w:w="23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Week 6</w:t>
            </w:r>
          </w:p>
        </w:tc>
        <w:tc>
          <w:tcPr>
            <w:tcW w:type="dxa" w:w="7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Automated test suite (pytest), CI-style verification, seed data and demo scripting</w:t>
            </w:r>
          </w:p>
        </w:tc>
      </w:tr>
      <w:tr>
        <w:tc>
          <w:tcPr>
            <w:tcW w:type="dxa" w:w="2300"/>
            <w:tcMar>
              <w:top w:type="dxa" w:w="80"/>
              <w:left w:type="dxa" w:w="120"/>
              <w:bottom w:type="dxa" w:w="80"/>
              <w:right w:type="dxa" w:w="120"/>
            </w:tcMar>
            <w:vAlign w:val="center"/>
          </w:tcPr>
          <w:p>
            <w:pPr>
              <w:jc w:val="left"/>
            </w:pPr>
            <w:r>
              <w:rPr>
                <w:b w:val="false"/>
                <w:bCs w:val="false"/>
                <w:color w:val="111111"/>
                <w:sz w:val="19"/>
                <w:szCs w:val="19"/>
              </w:rPr>
              <w:t xml:space="preserve">Week 7</w:t>
            </w:r>
          </w:p>
        </w:tc>
        <w:tc>
          <w:tcPr>
            <w:tcW w:type="dxa" w:w="7050"/>
            <w:tcMar>
              <w:top w:type="dxa" w:w="80"/>
              <w:left w:type="dxa" w:w="120"/>
              <w:bottom w:type="dxa" w:w="80"/>
              <w:right w:type="dxa" w:w="120"/>
            </w:tcMar>
            <w:vAlign w:val="center"/>
          </w:tcPr>
          <w:p>
            <w:pPr>
              <w:jc w:val="left"/>
            </w:pPr>
            <w:r>
              <w:rPr>
                <w:b w:val="false"/>
                <w:bCs w:val="false"/>
                <w:color w:val="111111"/>
                <w:sz w:val="19"/>
                <w:szCs w:val="19"/>
              </w:rPr>
              <w:t xml:space="preserve">Literature and industry research survey; EEVDF and MLFQ algorithms; Jain's Fairness Index; Slurm-style fair-share decay; NIST-exact EWMA/Modified-Z/CUSUM anomaly detection; lock-ordering and timeout-based deadlock handling</w:t>
            </w:r>
          </w:p>
        </w:tc>
      </w:tr>
      <w:tr>
        <w:tc>
          <w:tcPr>
            <w:tcW w:type="dxa" w:w="230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Week 8</w:t>
            </w:r>
          </w:p>
        </w:tc>
        <w:tc>
          <w:tcPr>
            <w:tcW w:type="dxa" w:w="7050"/>
            <w:shd w:fill="F8FAFC" w:val="clear"/>
            <w:tcMar>
              <w:top w:type="dxa" w:w="80"/>
              <w:left w:type="dxa" w:w="120"/>
              <w:bottom w:type="dxa" w:w="80"/>
              <w:right w:type="dxa" w:w="120"/>
            </w:tcMar>
            <w:vAlign w:val="center"/>
          </w:tcPr>
          <w:p>
            <w:pPr>
              <w:jc w:val="left"/>
            </w:pPr>
            <w:r>
              <w:rPr>
                <w:b w:val="false"/>
                <w:bCs w:val="false"/>
                <w:color w:val="111111"/>
                <w:sz w:val="19"/>
                <w:szCs w:val="19"/>
              </w:rPr>
              <w:t xml:space="preserve">Benchmarking module (Poisson/Gamma workload generator, SWF trace parser, standard metrics); technical paper and this case-study report</w:t>
            </w:r>
          </w:p>
        </w:tc>
      </w:tr>
    </w:tbl>
    <w:p>
      <w:pPr>
        <w:pStyle w:val="Heading1"/>
        <w:spacing w:after="180" w:before="360"/>
      </w:pPr>
      <w:bookmarkStart w:name="_Toc23" w:id="23"/>
      <w:r>
        <w:t xml:space="preserve">11. Expected Outcomes</w:t>
      </w:r>
      <w:bookmarkEnd w:id="23"/>
    </w:p>
    <w:p>
      <w:pPr>
        <w:spacing w:after="180" w:line="276"/>
        <w:jc w:val="both"/>
      </w:pPr>
      <w:r>
        <w:rPr>
          <w:sz w:val="22"/>
          <w:szCs w:val="22"/>
        </w:rPr>
        <w:t xml:space="preserve">By the end of the project, the following outcomes were achieved and independently verified:</w:t>
      </w:r>
    </w:p>
    <w:p>
      <w:pPr>
        <w:pStyle w:val="ListParagraph"/>
        <w:numPr>
          <w:ilvl w:val="0"/>
          <w:numId w:val="1"/>
        </w:numPr>
        <w:spacing w:after="90" w:line="276"/>
      </w:pPr>
      <w:r>
        <w:rPr>
          <w:sz w:val="22"/>
          <w:szCs w:val="22"/>
        </w:rPr>
        <w:t xml:space="preserve">A working full-stack application (FastAPI backend, React frontend, SQLite persistence) implementing the complete process lifecycle, resource simulation, and recovery engine described above.</w:t>
      </w:r>
    </w:p>
    <w:p>
      <w:pPr>
        <w:pStyle w:val="ListParagraph"/>
        <w:numPr>
          <w:ilvl w:val="0"/>
          <w:numId w:val="1"/>
        </w:numPr>
        <w:spacing w:after="90" w:line="276"/>
      </w:pPr>
      <w:r>
        <w:rPr>
          <w:sz w:val="22"/>
          <w:szCs w:val="22"/>
        </w:rPr>
        <w:t xml:space="preserve">Six scheduling algorithms producing comparable Gantt-chart data, standard timing metrics, and a Jain's Fairness Index score for every run, exposed via a REST API and visualised on the Scheduler screen.</w:t>
      </w:r>
    </w:p>
    <w:p>
      <w:pPr>
        <w:pStyle w:val="ListParagraph"/>
        <w:numPr>
          <w:ilvl w:val="0"/>
          <w:numId w:val="1"/>
        </w:numPr>
        <w:spacing w:after="90" w:line="276"/>
      </w:pPr>
      <w:r>
        <w:rPr>
          <w:sz w:val="22"/>
          <w:szCs w:val="22"/>
        </w:rPr>
        <w:t xml:space="preserve">A fully offline-capable RAG assistant that answers free-form questions about OS concepts and live process state, upgrading automatically to a generated (non-extractive) answer when an LLM provider key is supplied.</w:t>
      </w:r>
    </w:p>
    <w:p>
      <w:pPr>
        <w:pStyle w:val="ListParagraph"/>
        <w:numPr>
          <w:ilvl w:val="0"/>
          <w:numId w:val="1"/>
        </w:numPr>
        <w:spacing w:after="90" w:line="276"/>
      </w:pPr>
      <w:r>
        <w:rPr>
          <w:sz w:val="22"/>
          <w:szCs w:val="22"/>
        </w:rPr>
        <w:t xml:space="preserve">An automated error-recovery loop that reliably detects a simulated memory-allocation failure, produces a grounded diagnosis, and executes a logged recovery action — demonstrated live end-to-end during development.</w:t>
      </w:r>
    </w:p>
    <w:p>
      <w:pPr>
        <w:pStyle w:val="ListParagraph"/>
        <w:numPr>
          <w:ilvl w:val="0"/>
          <w:numId w:val="1"/>
        </w:numPr>
        <w:spacing w:after="90" w:line="276"/>
      </w:pPr>
      <w:r>
        <w:rPr>
          <w:sz w:val="22"/>
          <w:szCs w:val="22"/>
        </w:rPr>
        <w:t xml:space="preserve">A benchmarking module producing reproducible, seeded comparison tables across all six algorithms; representative results (30 synthetic jobs, seed 42) showed FCFS/Round-Robin/EEVDF/MLFQ achieving full CPU utilisation (1.0) and comparable makespan (~228.7), while SJF and Priority traded utilisation for other objectives, illustrating the classical throughput/fairness/starvation tradeoffs discussed in Section 13.</w:t>
      </w:r>
    </w:p>
    <w:p>
      <w:pPr>
        <w:pStyle w:val="ListParagraph"/>
        <w:numPr>
          <w:ilvl w:val="0"/>
          <w:numId w:val="1"/>
        </w:numPr>
        <w:spacing w:after="90" w:line="276"/>
      </w:pPr>
      <w:r>
        <w:rPr>
          <w:sz w:val="22"/>
          <w:szCs w:val="22"/>
        </w:rPr>
        <w:t xml:space="preserve">A 67-test automated pytest suite (36 from the initial build, 31 added for the research-grounded upgrades) passing in full, verified independently by re-execution rather than taken on trust.</w:t>
      </w:r>
    </w:p>
    <w:p>
      <w:pPr>
        <w:pStyle w:val="ListParagraph"/>
        <w:numPr>
          <w:ilvl w:val="0"/>
          <w:numId w:val="1"/>
        </w:numPr>
        <w:spacing w:after="90" w:line="276"/>
      </w:pPr>
      <w:r>
        <w:rPr>
          <w:sz w:val="22"/>
          <w:szCs w:val="22"/>
        </w:rPr>
        <w:t xml:space="preserve">Two written technical documents accompanying the code: a ~1800-word citable technical paper (PAPER.md) and this case-study report, both tracing every non-trivial design claim to a specific external source.</w:t>
      </w:r>
    </w:p>
    <w:p>
      <w:pPr>
        <w:pStyle w:val="Heading1"/>
        <w:spacing w:after="180" w:before="360"/>
      </w:pPr>
      <w:bookmarkStart w:name="_Toc24" w:id="24"/>
      <w:r>
        <w:t xml:space="preserve">12. Future Scope</w:t>
      </w:r>
      <w:bookmarkEnd w:id="24"/>
    </w:p>
    <w:p>
      <w:pPr>
        <w:pStyle w:val="ListParagraph"/>
        <w:numPr>
          <w:ilvl w:val="0"/>
          <w:numId w:val="1"/>
        </w:numPr>
        <w:spacing w:after="90" w:line="276"/>
      </w:pPr>
      <w:r>
        <w:rPr>
          <w:sz w:val="22"/>
          <w:szCs w:val="22"/>
        </w:rPr>
        <w:t xml:space="preserve">Multi-user support with lightweight authentication, enabling Procura's Slurm-style fair-share mechanism to operate across real competing users/accounts rather than a single simulated workload.</w:t>
      </w:r>
    </w:p>
    <w:p>
      <w:pPr>
        <w:pStyle w:val="ListParagraph"/>
        <w:numPr>
          <w:ilvl w:val="0"/>
          <w:numId w:val="1"/>
        </w:numPr>
        <w:spacing w:after="90" w:line="276"/>
      </w:pPr>
      <w:r>
        <w:rPr>
          <w:sz w:val="22"/>
          <w:szCs w:val="22"/>
        </w:rPr>
        <w:t xml:space="preserve">Replacing the synthetic Gamma-distributed workload generator with a full Lublin-Feitelson hyper-Gamma implementation once calibrated parameters are sourced, and benchmarking against full-scale real traces (e.g. the Google cluster-data releases) rather than only a hand-written SWF sample.</w:t>
      </w:r>
    </w:p>
    <w:p>
      <w:pPr>
        <w:pStyle w:val="ListParagraph"/>
        <w:numPr>
          <w:ilvl w:val="0"/>
          <w:numId w:val="1"/>
        </w:numPr>
        <w:spacing w:after="90" w:line="276"/>
      </w:pPr>
      <w:r>
        <w:rPr>
          <w:sz w:val="22"/>
          <w:szCs w:val="22"/>
        </w:rPr>
        <w:t xml:space="preserve">Extending Jain's Fairness Index reporting to measure fairness over waiting time and instantaneous allocation rate, addressing the limitation (discussed candidly in Section 13) that the current metric is insensitive to dispatch order once every job completes.</w:t>
      </w:r>
    </w:p>
    <w:p>
      <w:pPr>
        <w:pStyle w:val="ListParagraph"/>
        <w:numPr>
          <w:ilvl w:val="0"/>
          <w:numId w:val="1"/>
        </w:numPr>
        <w:spacing w:after="90" w:line="276"/>
      </w:pPr>
      <w:r>
        <w:rPr>
          <w:sz w:val="22"/>
          <w:szCs w:val="22"/>
        </w:rPr>
        <w:t xml:space="preserve">Calendar and external task-source integration (e.g. ingesting real deadlines from a calendar API) to replace manually entered deadline/urgency fields.</w:t>
      </w:r>
    </w:p>
    <w:p>
      <w:pPr>
        <w:pStyle w:val="ListParagraph"/>
        <w:numPr>
          <w:ilvl w:val="0"/>
          <w:numId w:val="1"/>
        </w:numPr>
        <w:spacing w:after="90" w:line="276"/>
      </w:pPr>
      <w:r>
        <w:rPr>
          <w:sz w:val="22"/>
          <w:szCs w:val="22"/>
        </w:rPr>
        <w:t xml:space="preserve">A learned, rather than hand-tuned, weighting of the effective-priority formula's four components, validated against real user feedback on perceived task urgency.</w:t>
      </w:r>
    </w:p>
    <w:p>
      <w:pPr>
        <w:pStyle w:val="ListParagraph"/>
        <w:numPr>
          <w:ilvl w:val="0"/>
          <w:numId w:val="1"/>
        </w:numPr>
        <w:spacing w:after="90" w:line="276"/>
      </w:pPr>
      <w:r>
        <w:rPr>
          <w:sz w:val="22"/>
          <w:szCs w:val="22"/>
        </w:rPr>
        <w:t xml:space="preserve">Promoting the lock-ordering checker from a diagnostic (log-only) tool to an enforcement mechanism, and extending timeout-based abort with configurable retry/backoff policies closer to production job-queue systems such as Celery.</w:t>
      </w:r>
    </w:p>
    <w:p>
      <w:pPr>
        <w:pStyle w:val="ListParagraph"/>
        <w:numPr>
          <w:ilvl w:val="0"/>
          <w:numId w:val="1"/>
        </w:numPr>
        <w:spacing w:after="90" w:line="276"/>
      </w:pPr>
      <w:r>
        <w:rPr>
          <w:sz w:val="22"/>
          <w:szCs w:val="22"/>
        </w:rPr>
        <w:t xml:space="preserve">A mobile or voice-assistant front end reusing the existing REST API, and deeper integration between the terminal dashboard and desktop notification systems for a true `htop`-for-your-to-do-list experience.</w:t>
      </w:r>
    </w:p>
    <w:p>
      <w:pPr>
        <w:pStyle w:val="Heading1"/>
        <w:spacing w:after="180" w:before="360"/>
      </w:pPr>
      <w:bookmarkStart w:name="_Toc25" w:id="25"/>
      <w:r>
        <w:t xml:space="preserve">13. Challenges and Ethical Considerations</w:t>
      </w:r>
      <w:bookmarkEnd w:id="25"/>
    </w:p>
    <w:p>
      <w:pPr>
        <w:pStyle w:val="Heading2"/>
        <w:spacing w:after="120" w:before="240"/>
      </w:pPr>
      <w:bookmarkStart w:name="_Toc26" w:id="26"/>
      <w:r>
        <w:t xml:space="preserve">13.1 Technical challenges</w:t>
      </w:r>
      <w:bookmarkEnd w:id="26"/>
    </w:p>
    <w:p>
      <w:pPr>
        <w:pStyle w:val="ListParagraph"/>
        <w:numPr>
          <w:ilvl w:val="0"/>
          <w:numId w:val="1"/>
        </w:numPr>
        <w:spacing w:after="90" w:line="276"/>
      </w:pPr>
      <w:r>
        <w:rPr>
          <w:sz w:val="22"/>
          <w:szCs w:val="22"/>
        </w:rPr>
        <w:t xml:space="preserve">Faithfully implementing EEVDF's lag/eligibility/virtual-deadline mechanics and MLFQ's "better accounting" anti-gaming rule (tracking cumulative time at a priority level rather than resetting it on voluntary yield) required careful, literature-checked implementation rather than a superficial approximation.</w:t>
      </w:r>
    </w:p>
    <w:p>
      <w:pPr>
        <w:pStyle w:val="ListParagraph"/>
        <w:numPr>
          <w:ilvl w:val="0"/>
          <w:numId w:val="1"/>
        </w:numPr>
        <w:spacing w:after="90" w:line="276"/>
      </w:pPr>
      <w:r>
        <w:rPr>
          <w:sz w:val="22"/>
          <w:szCs w:val="22"/>
        </w:rPr>
        <w:t xml:space="preserve">A genuine, unanticipated finding during benchmarking was that Jain's Fairness Index, as specified, is identical across all six algorithms on a workload where every job eventually completes, because the metric is computed over total allocated CPU time rather than the order or timing of allocation. This is reported as an honest limitation of the chosen metric rather than hidden or smoothed over (Section 12 proposes the fix).</w:t>
      </w:r>
    </w:p>
    <w:p>
      <w:pPr>
        <w:pStyle w:val="ListParagraph"/>
        <w:numPr>
          <w:ilvl w:val="0"/>
          <w:numId w:val="1"/>
        </w:numPr>
        <w:spacing w:after="90" w:line="276"/>
      </w:pPr>
      <w:r>
        <w:rPr>
          <w:sz w:val="22"/>
          <w:szCs w:val="22"/>
        </w:rPr>
        <w:t xml:space="preserve">Tuning the statistical anomaly-detection thresholds (EWMA's lambda/k, the Modified Z-score's 3.5 cutoff, CUSUM's k and h) so that the system reliably demonstrates a realistic failure in a short demo, without the detection feeling artificially "rigged," required deliberately following NIST's published defaults rather than hand-picking values to trigger on cue.</w:t>
      </w:r>
    </w:p>
    <w:p>
      <w:pPr>
        <w:pStyle w:val="ListParagraph"/>
        <w:numPr>
          <w:ilvl w:val="0"/>
          <w:numId w:val="1"/>
        </w:numPr>
        <w:spacing w:after="90" w:line="276"/>
      </w:pPr>
      <w:r>
        <w:rPr>
          <w:sz w:val="22"/>
          <w:szCs w:val="22"/>
        </w:rPr>
        <w:t xml:space="preserve">Keeping the RAG assistant fully functional with zero external dependency (for grading/demo reliability) while still supporting a live LLM upgrade path required a hand-rolled TF-IDF retriever rather than a heavier embedding pipeline, a deliberate portability-over-sophistication tradeoff.</w:t>
      </w:r>
    </w:p>
    <w:p>
      <w:pPr>
        <w:pStyle w:val="Heading2"/>
        <w:spacing w:after="120" w:before="240"/>
      </w:pPr>
      <w:bookmarkStart w:name="_Toc27" w:id="27"/>
      <w:r>
        <w:t xml:space="preserve">13.2 Ethical considerations</w:t>
      </w:r>
      <w:bookmarkEnd w:id="27"/>
    </w:p>
    <w:p>
      <w:pPr>
        <w:pStyle w:val="ListParagraph"/>
        <w:numPr>
          <w:ilvl w:val="0"/>
          <w:numId w:val="1"/>
        </w:numPr>
        <w:spacing w:after="90" w:line="276"/>
      </w:pPr>
      <w:r>
        <w:rPr>
          <w:sz w:val="22"/>
          <w:szCs w:val="22"/>
        </w:rPr>
        <w:t xml:space="preserve">Data privacy: if a live LLM provider is configured, task names and descriptions are sent to a third-party API. The system defaults to a fully offline mode specifically so that no task data leaves the user's machine unless they explicitly opt in by supplying an API key.</w:t>
      </w:r>
    </w:p>
    <w:p>
      <w:pPr>
        <w:pStyle w:val="ListParagraph"/>
        <w:numPr>
          <w:ilvl w:val="0"/>
          <w:numId w:val="1"/>
        </w:numPr>
        <w:spacing w:after="90" w:line="276"/>
      </w:pPr>
      <w:r>
        <w:rPr>
          <w:sz w:val="22"/>
          <w:szCs w:val="22"/>
        </w:rPr>
        <w:t xml:space="preserve">Transparency and explainability: every AI-generated diagnosis is grounded in retrieved, citable knowledge-base text rather than an unconstrained model response, and the retrieved sources are returned alongside the answer so a user can verify the explanation rather than trust it blindly.</w:t>
      </w:r>
    </w:p>
    <w:p>
      <w:pPr>
        <w:pStyle w:val="ListParagraph"/>
        <w:numPr>
          <w:ilvl w:val="0"/>
          <w:numId w:val="1"/>
        </w:numPr>
        <w:spacing w:after="90" w:line="276"/>
      </w:pPr>
      <w:r>
        <w:rPr>
          <w:sz w:val="22"/>
          <w:szCs w:val="22"/>
        </w:rPr>
        <w:t xml:space="preserve">Bounded automation: recovery actions are restricted to four pre-defined, auditable scripts (suspend, retry, restart, terminate) rather than LLM-generated commands, following the same safety rationale AWS Systems Manager and PagerDuty apply to real production runbooks — the AI diagnoses, but a fixed, reviewed script acts.</w:t>
      </w:r>
    </w:p>
    <w:p>
      <w:pPr>
        <w:pStyle w:val="ListParagraph"/>
        <w:numPr>
          <w:ilvl w:val="0"/>
          <w:numId w:val="1"/>
        </w:numPr>
        <w:spacing w:after="90" w:line="276"/>
      </w:pPr>
      <w:r>
        <w:rPr>
          <w:sz w:val="22"/>
          <w:szCs w:val="22"/>
        </w:rPr>
        <w:t xml:space="preserve">No authentication, by design: Procura is explicitly scoped as a single-user, local-first tool. This is an appropriate and stated scope limitation for this project, but it is called out explicitly so the system is never mistaken for something safe to expose on a public network without first adding access control.</w:t>
      </w:r>
    </w:p>
    <w:p>
      <w:pPr>
        <w:pStyle w:val="ListParagraph"/>
        <w:numPr>
          <w:ilvl w:val="0"/>
          <w:numId w:val="1"/>
        </w:numPr>
        <w:spacing w:after="90" w:line="276"/>
      </w:pPr>
      <w:r>
        <w:rPr>
          <w:sz w:val="22"/>
          <w:szCs w:val="22"/>
        </w:rPr>
        <w:t xml:space="preserve">Algorithmic fairness: the effective-priority formula's weights are a design choice, not a neutral default; because the formula directly determines which task a user is told to work on next, its weighting is documented transparently rather than presented as an unquestionable ground truth.</w:t>
      </w:r>
    </w:p>
    <w:p>
      <w:pPr>
        <w:pStyle w:val="Heading1"/>
        <w:spacing w:after="180" w:before="360"/>
      </w:pPr>
      <w:bookmarkStart w:name="_Toc28" w:id="28"/>
      <w:r>
        <w:t xml:space="preserve">14. Conclusion</w:t>
      </w:r>
      <w:bookmarkEnd w:id="28"/>
    </w:p>
    <w:p>
      <w:pPr>
        <w:spacing w:after="180" w:line="276"/>
        <w:jc w:val="both"/>
      </w:pPr>
      <w:r>
        <w:rPr>
          <w:sz w:val="22"/>
          <w:szCs w:val="22"/>
        </w:rPr>
        <w:t xml:space="preserve">Procura demonstrates that the scheduling, resource-management, and self-healing theory taught in an Operating Systems course is not merely a pedagogical exercise confined to textbook algorithms: nearly every mechanism this project implements — EEVDF, MLFQ, Jain's Fairness Index, Slurm-style fair-share decay, NIST statistical process control, lock ordering, timeout-based deadlock mitigation, and the AIOps detect-diagnose-remediate loop — has a concrete, cited, production counterpart in systems that run at real scale today. By building, testing, and benchmarking all six scheduling algorithms side by side, and by grounding the AI-assisted diagnosis layer in a real retrieval pipeline rather than an unconstrained language model, Procura moves beyond a conventional "task manager with OS flavour text" into a system whose every major design decision can be defended with a specific, named source. The project's own benchmark results and its honestly reported limitations (Section 13) are offered in that same spirit: as evidence to be checked, not claims to be taken on faith.</w:t>
      </w:r>
    </w:p>
    <w:p>
      <w:r>
        <w:br w:type="page"/>
      </w:r>
    </w:p>
    <w:p>
      <w:pPr>
        <w:pStyle w:val="Heading1"/>
        <w:spacing w:after="180" w:before="360"/>
      </w:pPr>
      <w:bookmarkStart w:name="_Toc29" w:id="29"/>
      <w:r>
        <w:t xml:space="preserve">References</w:t>
      </w:r>
      <w:bookmarkEnd w:id="29"/>
    </w:p>
    <w:p>
      <w:pPr>
        <w:pStyle w:val="ListParagraph"/>
        <w:numPr>
          <w:ilvl w:val="0"/>
          <w:numId w:val="2"/>
        </w:numPr>
        <w:spacing w:after="70" w:line="264"/>
      </w:pPr>
      <w:r>
        <w:rPr>
          <w:sz w:val="20"/>
          <w:szCs w:val="20"/>
        </w:rPr>
        <w:t xml:space="preserve">[1] Linux kernel documentation, EEVDF Scheduler. https://docs.kernel.org/scheduler/sched-eevdf.html</w:t>
      </w:r>
    </w:p>
    <w:p>
      <w:pPr>
        <w:pStyle w:val="ListParagraph"/>
        <w:numPr>
          <w:ilvl w:val="0"/>
          <w:numId w:val="2"/>
        </w:numPr>
        <w:spacing w:after="70" w:line="264"/>
      </w:pPr>
      <w:r>
        <w:rPr>
          <w:sz w:val="20"/>
          <w:szCs w:val="20"/>
        </w:rPr>
        <w:t xml:space="preserve">[2] LWN.net, Article 925371 (EEVDF scheduler discussion). https://lwn.net/Articles/925371</w:t>
      </w:r>
    </w:p>
    <w:p>
      <w:pPr>
        <w:pStyle w:val="ListParagraph"/>
        <w:numPr>
          <w:ilvl w:val="0"/>
          <w:numId w:val="2"/>
        </w:numPr>
        <w:spacing w:after="70" w:line="264"/>
      </w:pPr>
      <w:r>
        <w:rPr>
          <w:sz w:val="20"/>
          <w:szCs w:val="20"/>
        </w:rPr>
        <w:t xml:space="preserve">[3] UC Berkeley CS162, Lecture 13 (Fall 2023). https://inst.eecs.berkeley.edu/~cs162/fa23/static/lectures/13.pdf</w:t>
      </w:r>
    </w:p>
    <w:p>
      <w:pPr>
        <w:pStyle w:val="ListParagraph"/>
        <w:numPr>
          <w:ilvl w:val="0"/>
          <w:numId w:val="2"/>
        </w:numPr>
        <w:spacing w:after="70" w:line="264"/>
      </w:pPr>
      <w:r>
        <w:rPr>
          <w:sz w:val="20"/>
          <w:szCs w:val="20"/>
        </w:rPr>
        <w:t xml:space="preserve">[4] LKML thread on sched_prio_to_weight. https://lkml.iu.edu/1910.0/07223.html</w:t>
      </w:r>
    </w:p>
    <w:p>
      <w:pPr>
        <w:pStyle w:val="ListParagraph"/>
        <w:numPr>
          <w:ilvl w:val="0"/>
          <w:numId w:val="2"/>
        </w:numPr>
        <w:spacing w:after="70" w:line="264"/>
      </w:pPr>
      <w:r>
        <w:rPr>
          <w:sz w:val="20"/>
          <w:szCs w:val="20"/>
        </w:rPr>
        <w:t xml:space="preserve">[5] Arpaci-Dusseau, R. &amp; Arpaci-Dusseau, A., Operating Systems: Three Easy Pieces, Ch. 8, "Scheduling: The Multi-Level Feedback Queue." https://fog.misty.com/perry/os/Chapters/08-cpu-sched-mlfq/all-notes.html</w:t>
      </w:r>
    </w:p>
    <w:p>
      <w:pPr>
        <w:pStyle w:val="ListParagraph"/>
        <w:numPr>
          <w:ilvl w:val="0"/>
          <w:numId w:val="2"/>
        </w:numPr>
        <w:spacing w:after="70" w:line="264"/>
      </w:pPr>
      <w:r>
        <w:rPr>
          <w:sz w:val="20"/>
          <w:szCs w:val="20"/>
        </w:rPr>
        <w:t xml:space="preserve">[6] Jain, R., Chiu, D., Hawe, W. (1984), DEC Technical Report, hosted at Washington University in St. Louis. https://classes.engineering.wustl.edu/~jain/papers/fairness.htm</w:t>
      </w:r>
    </w:p>
    <w:p>
      <w:pPr>
        <w:pStyle w:val="ListParagraph"/>
        <w:numPr>
          <w:ilvl w:val="0"/>
          <w:numId w:val="2"/>
        </w:numPr>
        <w:spacing w:after="70" w:line="264"/>
      </w:pPr>
      <w:r>
        <w:rPr>
          <w:sz w:val="20"/>
          <w:szCs w:val="20"/>
        </w:rPr>
        <w:t xml:space="preserve">[7] arXiv cs/9809099, Jain's Fairness Index discussion. https://arxiv.org/pdf/cs/9809099</w:t>
      </w:r>
    </w:p>
    <w:p>
      <w:pPr>
        <w:pStyle w:val="ListParagraph"/>
        <w:numPr>
          <w:ilvl w:val="0"/>
          <w:numId w:val="2"/>
        </w:numPr>
        <w:spacing w:after="70" w:line="264"/>
      </w:pPr>
      <w:r>
        <w:rPr>
          <w:sz w:val="20"/>
          <w:szCs w:val="20"/>
        </w:rPr>
        <w:t xml:space="preserve">[8] University of Bayreuth HPC docs, Scheduling and Priority. https://www.hpc.uni-bayreuth.de/advanced/schedandprio/</w:t>
      </w:r>
    </w:p>
    <w:p>
      <w:pPr>
        <w:pStyle w:val="ListParagraph"/>
        <w:numPr>
          <w:ilvl w:val="0"/>
          <w:numId w:val="2"/>
        </w:numPr>
        <w:spacing w:after="70" w:line="264"/>
      </w:pPr>
      <w:r>
        <w:rPr>
          <w:sz w:val="20"/>
          <w:szCs w:val="20"/>
        </w:rPr>
        <w:t xml:space="preserve">[9] Fastone Technologies, Fair-share scheduling guide. https://docs.fastonetech.com/en/fsched/admin_guide/</w:t>
      </w:r>
    </w:p>
    <w:p>
      <w:pPr>
        <w:pStyle w:val="ListParagraph"/>
        <w:numPr>
          <w:ilvl w:val="0"/>
          <w:numId w:val="2"/>
        </w:numPr>
        <w:spacing w:after="70" w:line="264"/>
      </w:pPr>
      <w:r>
        <w:rPr>
          <w:sz w:val="20"/>
          <w:szCs w:val="20"/>
        </w:rPr>
        <w:t xml:space="preserve">[10] Kubernetes v1.33 docs, Scheduling Framework. https://v1-33.docs.kubernetes.io/docs/concepts/scheduling-eviction/scheduling-framework/</w:t>
      </w:r>
    </w:p>
    <w:p>
      <w:pPr>
        <w:pStyle w:val="ListParagraph"/>
        <w:numPr>
          <w:ilvl w:val="0"/>
          <w:numId w:val="2"/>
        </w:numPr>
        <w:spacing w:after="70" w:line="264"/>
      </w:pPr>
      <w:r>
        <w:rPr>
          <w:sz w:val="20"/>
          <w:szCs w:val="20"/>
        </w:rPr>
        <w:t xml:space="preserve">[11] Celery official documentation, Routing Tasks. https://docs.celeryq.dev/en/main/userguide/routing.html</w:t>
      </w:r>
    </w:p>
    <w:p>
      <w:pPr>
        <w:pStyle w:val="ListParagraph"/>
        <w:numPr>
          <w:ilvl w:val="0"/>
          <w:numId w:val="2"/>
        </w:numPr>
        <w:spacing w:after="70" w:line="264"/>
      </w:pPr>
      <w:r>
        <w:rPr>
          <w:sz w:val="20"/>
          <w:szCs w:val="20"/>
        </w:rPr>
        <w:t xml:space="preserve">[12] Google SRE Book, Eliminating Toil. https://sre.google/sre-book/eliminating-toil/</w:t>
      </w:r>
    </w:p>
    <w:p>
      <w:pPr>
        <w:pStyle w:val="ListParagraph"/>
        <w:numPr>
          <w:ilvl w:val="0"/>
          <w:numId w:val="2"/>
        </w:numPr>
        <w:spacing w:after="70" w:line="264"/>
      </w:pPr>
      <w:r>
        <w:rPr>
          <w:sz w:val="20"/>
          <w:szCs w:val="20"/>
        </w:rPr>
        <w:t xml:space="preserve">[13] Datadog, Watchdog documentation. https://docs.datadoghq.com/watchdog/</w:t>
      </w:r>
    </w:p>
    <w:p>
      <w:pPr>
        <w:pStyle w:val="ListParagraph"/>
        <w:numPr>
          <w:ilvl w:val="0"/>
          <w:numId w:val="2"/>
        </w:numPr>
        <w:spacing w:after="70" w:line="264"/>
      </w:pPr>
      <w:r>
        <w:rPr>
          <w:sz w:val="20"/>
          <w:szCs w:val="20"/>
        </w:rPr>
        <w:t xml:space="preserve">[14] Dynatrace, Davis AI Root Cause Analysis. https://docs.dynatrace.com/docs/platform/davis-ai/root-cause-analysis</w:t>
      </w:r>
    </w:p>
    <w:p>
      <w:pPr>
        <w:pStyle w:val="ListParagraph"/>
        <w:numPr>
          <w:ilvl w:val="0"/>
          <w:numId w:val="2"/>
        </w:numPr>
        <w:spacing w:after="70" w:line="264"/>
      </w:pPr>
      <w:r>
        <w:rPr>
          <w:sz w:val="20"/>
          <w:szCs w:val="20"/>
        </w:rPr>
        <w:t xml:space="preserve">[15] New Relic, Announcing New Relic AI General Availability. https://newrelic.com/blog/news/announcing-new-relic-ai-general-availability</w:t>
      </w:r>
    </w:p>
    <w:p>
      <w:pPr>
        <w:pStyle w:val="ListParagraph"/>
        <w:numPr>
          <w:ilvl w:val="0"/>
          <w:numId w:val="2"/>
        </w:numPr>
        <w:spacing w:after="70" w:line="264"/>
      </w:pPr>
      <w:r>
        <w:rPr>
          <w:sz w:val="20"/>
          <w:szCs w:val="20"/>
        </w:rPr>
        <w:t xml:space="preserve">[16] Microsoft Research, RCACopilot, arXiv:2305.15778 (EuroSys '24). https://arxiv.org/abs/2305.15778</w:t>
      </w:r>
    </w:p>
    <w:p>
      <w:pPr>
        <w:pStyle w:val="ListParagraph"/>
        <w:numPr>
          <w:ilvl w:val="0"/>
          <w:numId w:val="2"/>
        </w:numPr>
        <w:spacing w:after="70" w:line="264"/>
      </w:pPr>
      <w:r>
        <w:rPr>
          <w:sz w:val="20"/>
          <w:szCs w:val="20"/>
        </w:rPr>
        <w:t xml:space="preserve">[17] Microsoft Research, GPT-4 in-context RCA over 100,000+ incidents, arXiv:2401.13810. https://arxiv.org/pdf/2401.13810</w:t>
      </w:r>
    </w:p>
    <w:p>
      <w:pPr>
        <w:pStyle w:val="ListParagraph"/>
        <w:numPr>
          <w:ilvl w:val="0"/>
          <w:numId w:val="2"/>
        </w:numPr>
        <w:spacing w:after="70" w:line="264"/>
      </w:pPr>
      <w:r>
        <w:rPr>
          <w:sz w:val="20"/>
          <w:szCs w:val="20"/>
        </w:rPr>
        <w:t xml:space="preserve">[18] ReAct-style agentic RCA, arXiv:2403.04123. https://arxiv.org/pdf/2403.04123</w:t>
      </w:r>
    </w:p>
    <w:p>
      <w:pPr>
        <w:pStyle w:val="ListParagraph"/>
        <w:numPr>
          <w:ilvl w:val="0"/>
          <w:numId w:val="2"/>
        </w:numPr>
        <w:spacing w:after="70" w:line="264"/>
      </w:pPr>
      <w:r>
        <w:rPr>
          <w:sz w:val="20"/>
          <w:szCs w:val="20"/>
        </w:rPr>
        <w:t xml:space="preserve">[19] SynergyRCA, arXiv:2506.02490. https://arxiv.org/pdf/2506.02490</w:t>
      </w:r>
    </w:p>
    <w:p>
      <w:pPr>
        <w:pStyle w:val="ListParagraph"/>
        <w:numPr>
          <w:ilvl w:val="0"/>
          <w:numId w:val="2"/>
        </w:numPr>
        <w:spacing w:after="70" w:line="264"/>
      </w:pPr>
      <w:r>
        <w:rPr>
          <w:sz w:val="20"/>
          <w:szCs w:val="20"/>
        </w:rPr>
        <w:t xml:space="preserve">[20] NIST/SEMATECH e-Handbook of Statistical Methods, section 6.3.2.4 (EWMA). https://www.itl.nist.gov/div898/handbook/pmc/section3/pmc324.htm</w:t>
      </w:r>
    </w:p>
    <w:p>
      <w:pPr>
        <w:pStyle w:val="ListParagraph"/>
        <w:numPr>
          <w:ilvl w:val="0"/>
          <w:numId w:val="2"/>
        </w:numPr>
        <w:spacing w:after="70" w:line="264"/>
      </w:pPr>
      <w:r>
        <w:rPr>
          <w:sz w:val="20"/>
          <w:szCs w:val="20"/>
        </w:rPr>
        <w:t xml:space="preserve">[21] NIST/SEMATECH e-Handbook, section 1.3.5.17 (Modified Z-score). https://www.itl.nist.gov/div898/handbook/eda/section3/eda35h.htm</w:t>
      </w:r>
    </w:p>
    <w:p>
      <w:pPr>
        <w:pStyle w:val="ListParagraph"/>
        <w:numPr>
          <w:ilvl w:val="0"/>
          <w:numId w:val="2"/>
        </w:numPr>
        <w:spacing w:after="70" w:line="264"/>
      </w:pPr>
      <w:r>
        <w:rPr>
          <w:sz w:val="20"/>
          <w:szCs w:val="20"/>
        </w:rPr>
        <w:t xml:space="preserve">[22] NIST/SEMATECH e-Handbook, section 6.3.2.3 (CUSUM). https://www.itl.nist.gov/div898/handbook/pmc/section3/pmc323.htm</w:t>
      </w:r>
    </w:p>
    <w:p>
      <w:pPr>
        <w:pStyle w:val="ListParagraph"/>
        <w:numPr>
          <w:ilvl w:val="0"/>
          <w:numId w:val="2"/>
        </w:numPr>
        <w:spacing w:after="70" w:line="264"/>
      </w:pPr>
      <w:r>
        <w:rPr>
          <w:sz w:val="20"/>
          <w:szCs w:val="20"/>
        </w:rPr>
        <w:t xml:space="preserve">[23] arXiv 2511.07071, on the practical limitations of Banker's Algorithm. https://arxiv.org/pdf/2511.07071</w:t>
      </w:r>
    </w:p>
    <w:p>
      <w:pPr>
        <w:pStyle w:val="ListParagraph"/>
        <w:numPr>
          <w:ilvl w:val="0"/>
          <w:numId w:val="2"/>
        </w:numPr>
        <w:spacing w:after="70" w:line="264"/>
      </w:pPr>
      <w:r>
        <w:rPr>
          <w:sz w:val="20"/>
          <w:szCs w:val="20"/>
        </w:rPr>
        <w:t xml:space="preserve">[24] Google Cloud, Life of Spanner Reads &amp; Writes whitepaper. https://docs.cloud.google.com/spanner/docs/whitepapers/life-of-reads-and-writes</w:t>
      </w:r>
    </w:p>
    <w:p>
      <w:pPr>
        <w:pStyle w:val="ListParagraph"/>
        <w:numPr>
          <w:ilvl w:val="0"/>
          <w:numId w:val="2"/>
        </w:numPr>
        <w:spacing w:after="70" w:line="264"/>
      </w:pPr>
      <w:r>
        <w:rPr>
          <w:sz w:val="20"/>
          <w:szCs w:val="20"/>
        </w:rPr>
        <w:t xml:space="preserve">[25] LWN.net, Wait/wound mutexes. https://lwn.net/Articles/548909</w:t>
      </w:r>
    </w:p>
    <w:p>
      <w:pPr>
        <w:pStyle w:val="ListParagraph"/>
        <w:numPr>
          <w:ilvl w:val="0"/>
          <w:numId w:val="2"/>
        </w:numPr>
        <w:spacing w:after="70" w:line="264"/>
      </w:pPr>
      <w:r>
        <w:rPr>
          <w:sz w:val="20"/>
          <w:szCs w:val="20"/>
        </w:rPr>
        <w:t xml:space="preserve">[26] MySQL 8.0 Reference Manual, InnoDB Deadlock Detection. https://dev.mysql.com/doc/refman/8.0/en/innodb-deadlock-detection.html</w:t>
      </w:r>
    </w:p>
    <w:p>
      <w:pPr>
        <w:pStyle w:val="ListParagraph"/>
        <w:numPr>
          <w:ilvl w:val="0"/>
          <w:numId w:val="2"/>
        </w:numPr>
        <w:spacing w:after="70" w:line="264"/>
      </w:pPr>
      <w:r>
        <w:rPr>
          <w:sz w:val="20"/>
          <w:szCs w:val="20"/>
        </w:rPr>
        <w:t xml:space="preserve">[27] PostgreSQL documentation, deadlock_timeout configuration. https://www.postgresql.org/docs/current/runtime-config-locks.html</w:t>
      </w:r>
    </w:p>
    <w:p>
      <w:pPr>
        <w:pStyle w:val="ListParagraph"/>
        <w:numPr>
          <w:ilvl w:val="0"/>
          <w:numId w:val="2"/>
        </w:numPr>
        <w:spacing w:after="70" w:line="264"/>
      </w:pPr>
      <w:r>
        <w:rPr>
          <w:sz w:val="20"/>
          <w:szCs w:val="20"/>
        </w:rPr>
        <w:t xml:space="preserve">[28] Parallel Workloads Archive, Standard Workload Format. https://www.cs.huji.ac.il/labs/parallel/workload/swf.html</w:t>
      </w:r>
    </w:p>
    <w:p>
      <w:pPr>
        <w:pStyle w:val="ListParagraph"/>
        <w:numPr>
          <w:ilvl w:val="0"/>
          <w:numId w:val="2"/>
        </w:numPr>
        <w:spacing w:after="70" w:line="264"/>
      </w:pPr>
      <w:r>
        <w:rPr>
          <w:sz w:val="20"/>
          <w:szCs w:val="20"/>
        </w:rPr>
        <w:t xml:space="preserve">[29] Lublin, U. &amp; Feitelson, D., workload model, cited via IPDPS'06 paper. https://www.cecs.uci.edu/~papers/ipdps06/pdfs/1568974798-IPDPS-paper-1.pdf</w:t>
      </w:r>
    </w:p>
    <w:p>
      <w:pPr>
        <w:pStyle w:val="ListParagraph"/>
        <w:numPr>
          <w:ilvl w:val="0"/>
          <w:numId w:val="2"/>
        </w:numPr>
        <w:spacing w:after="70" w:line="264"/>
      </w:pPr>
      <w:r>
        <w:rPr>
          <w:sz w:val="20"/>
          <w:szCs w:val="20"/>
        </w:rPr>
        <w:t xml:space="preserve">[30] Batsim documentation, Output and Schedule. https://batsim.readthedocs.io/en/main/output-schedule.html</w:t>
      </w:r>
    </w:p>
    <w:p>
      <w:pPr>
        <w:pStyle w:val="ListParagraph"/>
        <w:numPr>
          <w:ilvl w:val="0"/>
          <w:numId w:val="2"/>
        </w:numPr>
        <w:spacing w:after="70" w:line="264"/>
      </w:pPr>
      <w:r>
        <w:rPr>
          <w:sz w:val="20"/>
          <w:szCs w:val="20"/>
        </w:rPr>
        <w:t xml:space="preserve">[31] arXiv 2111.10200, scheduling metrics discussion. https://arxiv.org/pdf/2111.10200</w:t>
      </w:r>
    </w:p>
    <w:sectPr>
      <w:headerReference w:type="default" r:id="rId6"/>
      <w:footerReference w:type="default" r:id="rId7"/>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Procura — Case Study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none"/>
      <w:lvlJc w:val="left"/>
      <w:pPr>
        <w:ind w:left="360" w:hanging="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563eb" w:sz="8" w:space="4"/>
      </w:pBdr>
      <w:spacing w:after="180" w:before="360"/>
    </w:pPr>
    <w:rPr>
      <w:rFonts w:ascii="Calibri" w:cs="Calibri" w:eastAsia="Calibri" w:hAnsi="Calibri"/>
      <w:b/>
      <w:bCs/>
      <w:color w:val="1f2937"/>
      <w:sz w:val="30"/>
      <w:szCs w:val="30"/>
    </w:rPr>
  </w:style>
  <w:style w:type="paragraph" w:styleId="Heading2">
    <w:name w:val="Heading 2"/>
    <w:basedOn w:val="Normal"/>
    <w:next w:val="Normal"/>
    <w:qFormat/>
    <w:pPr>
      <w:spacing w:after="120" w:before="240"/>
    </w:pPr>
    <w:rPr>
      <w:rFonts w:ascii="Calibri" w:cs="Calibri" w:eastAsia="Calibri" w:hAnsi="Calibri"/>
      <w:b/>
      <w:bCs/>
      <w:color w:val="2563e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e95cec652dcb02683ef754ed8da11dea2d83e9c.png"/><Relationship Id="rId10" Type="http://schemas.openxmlformats.org/officeDocument/2006/relationships/image" Target="media/c04461720a408876d9c9dbc931e0c13addb4a8a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2026-10-11T18:28:59.241Z</dcterms:created>
  <dcterms:modified xsi:type="dcterms:W3CDTF">2026-10-11T18:28:59.242Z</dcterms:modified>
</cp:coreProperties>
</file>

<file path=docProps/custom.xml><?xml version="1.0" encoding="utf-8"?>
<Properties xmlns="http://schemas.openxmlformats.org/officeDocument/2006/custom-properties" xmlns:vt="http://schemas.openxmlformats.org/officeDocument/2006/docPropsVTypes"/>
</file>