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6E5F" w:rsidRDefault="00DD6E5F" w:rsidP="00DD6E5F">
      <w:pPr>
        <w:jc w:val="center"/>
      </w:pPr>
      <w:r w:rsidRPr="009C5299">
        <w:rPr>
          <w:noProof/>
        </w:rPr>
        <w:drawing>
          <wp:inline distT="0" distB="0" distL="0" distR="0" wp14:anchorId="68B97F5B" wp14:editId="2F57B5DA">
            <wp:extent cx="3276600" cy="895350"/>
            <wp:effectExtent l="0" t="0" r="0" b="0"/>
            <wp:docPr id="1" name="Picture 1" descr="C:\Users\User\Desktop\NEW BATCH\ONLINE 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User\Desktop\NEW BATCH\ONLINE LOGO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6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D6E5F" w:rsidRDefault="00DD6E5F" w:rsidP="00DD6E5F">
      <w:pPr>
        <w:jc w:val="center"/>
      </w:pPr>
    </w:p>
    <w:p w:rsidR="00DD6E5F" w:rsidRDefault="00DD6E5F" w:rsidP="00DD6E5F">
      <w:pPr>
        <w:jc w:val="center"/>
      </w:pPr>
    </w:p>
    <w:p w:rsidR="00DD6E5F" w:rsidRDefault="00DD6E5F" w:rsidP="00DD6E5F">
      <w:pPr>
        <w:jc w:val="center"/>
      </w:pPr>
    </w:p>
    <w:p w:rsidR="00DD6E5F" w:rsidRDefault="00DD6E5F" w:rsidP="00DD6E5F">
      <w:pPr>
        <w:jc w:val="center"/>
      </w:pPr>
    </w:p>
    <w:p w:rsidR="00DD6E5F" w:rsidRDefault="00DD6E5F" w:rsidP="00DD6E5F">
      <w:pPr>
        <w:jc w:val="center"/>
      </w:pPr>
    </w:p>
    <w:p w:rsidR="00DD6E5F" w:rsidRDefault="00DD6E5F" w:rsidP="00DD6E5F">
      <w:pPr>
        <w:jc w:val="center"/>
      </w:pPr>
    </w:p>
    <w:p w:rsidR="00DD6E5F" w:rsidRDefault="00DD6E5F" w:rsidP="00DD6E5F">
      <w:pPr>
        <w:jc w:val="center"/>
      </w:pPr>
    </w:p>
    <w:p w:rsidR="00DD6E5F" w:rsidRPr="00EE4B62" w:rsidRDefault="00DD6E5F" w:rsidP="00DD6E5F">
      <w:pPr>
        <w:jc w:val="center"/>
        <w:rPr>
          <w:rFonts w:ascii="Segoe UI" w:hAnsi="Segoe UI" w:cs="Segoe UI"/>
          <w:b/>
          <w:sz w:val="36"/>
          <w:szCs w:val="36"/>
        </w:rPr>
      </w:pPr>
      <w:bookmarkStart w:id="0" w:name="_GoBack"/>
      <w:r w:rsidRPr="00EE4B62">
        <w:rPr>
          <w:rFonts w:ascii="Segoe UI" w:hAnsi="Segoe UI" w:cs="Segoe UI"/>
          <w:b/>
          <w:sz w:val="36"/>
          <w:szCs w:val="36"/>
        </w:rPr>
        <w:t xml:space="preserve">Project </w:t>
      </w:r>
      <w:r>
        <w:rPr>
          <w:rFonts w:ascii="Segoe UI" w:hAnsi="Segoe UI" w:cs="Segoe UI"/>
          <w:b/>
          <w:sz w:val="36"/>
          <w:szCs w:val="36"/>
        </w:rPr>
        <w:t>Interim Report</w:t>
      </w:r>
    </w:p>
    <w:bookmarkEnd w:id="0"/>
    <w:p w:rsidR="00DD6E5F" w:rsidRDefault="00DD6E5F" w:rsidP="00DD6E5F">
      <w:pPr>
        <w:jc w:val="center"/>
      </w:pPr>
    </w:p>
    <w:p w:rsidR="00DD6E5F" w:rsidRDefault="00DD6E5F" w:rsidP="00DD6E5F"/>
    <w:tbl>
      <w:tblPr>
        <w:tblStyle w:val="TableGrid"/>
        <w:tblW w:w="9364" w:type="dxa"/>
        <w:tblLook w:val="04A0" w:firstRow="1" w:lastRow="0" w:firstColumn="1" w:lastColumn="0" w:noHBand="0" w:noVBand="1"/>
      </w:tblPr>
      <w:tblGrid>
        <w:gridCol w:w="4682"/>
        <w:gridCol w:w="4682"/>
      </w:tblGrid>
      <w:tr w:rsidR="00DD6E5F" w:rsidTr="00DB284F">
        <w:trPr>
          <w:trHeight w:val="626"/>
        </w:trPr>
        <w:tc>
          <w:tcPr>
            <w:tcW w:w="4682" w:type="dxa"/>
            <w:vAlign w:val="center"/>
          </w:tcPr>
          <w:p w:rsidR="00DD6E5F" w:rsidRPr="00FE2C03" w:rsidRDefault="00DD6E5F" w:rsidP="00DB284F">
            <w:pPr>
              <w:rPr>
                <w:rFonts w:ascii="Segoe UI" w:hAnsi="Segoe UI" w:cs="Segoe UI"/>
                <w:b/>
                <w:bCs/>
                <w:iCs/>
                <w:sz w:val="24"/>
                <w:szCs w:val="24"/>
                <w:lang w:val="en-IN"/>
              </w:rPr>
            </w:pPr>
            <w:r w:rsidRPr="00FE2C03">
              <w:rPr>
                <w:rFonts w:ascii="Segoe UI" w:hAnsi="Segoe UI" w:cs="Segoe UI"/>
                <w:b/>
                <w:bCs/>
                <w:iCs/>
                <w:sz w:val="24"/>
                <w:szCs w:val="24"/>
                <w:lang w:val="en-IN"/>
              </w:rPr>
              <w:t>Name</w:t>
            </w:r>
          </w:p>
        </w:tc>
        <w:tc>
          <w:tcPr>
            <w:tcW w:w="4682" w:type="dxa"/>
            <w:vAlign w:val="center"/>
          </w:tcPr>
          <w:p w:rsidR="00DD6E5F" w:rsidRDefault="00DD6E5F" w:rsidP="00DB284F">
            <w:pPr>
              <w:rPr>
                <w:rFonts w:ascii="Segoe UI" w:hAnsi="Segoe UI" w:cs="Segoe UI"/>
                <w:bCs/>
                <w:iCs/>
                <w:sz w:val="24"/>
                <w:szCs w:val="24"/>
                <w:lang w:val="en-IN"/>
              </w:rPr>
            </w:pPr>
          </w:p>
        </w:tc>
      </w:tr>
      <w:tr w:rsidR="00DD6E5F" w:rsidTr="00DB284F">
        <w:trPr>
          <w:trHeight w:val="626"/>
        </w:trPr>
        <w:tc>
          <w:tcPr>
            <w:tcW w:w="4682" w:type="dxa"/>
            <w:vAlign w:val="center"/>
          </w:tcPr>
          <w:p w:rsidR="00DD6E5F" w:rsidRPr="00FE2C03" w:rsidRDefault="00DD6E5F" w:rsidP="00DB284F">
            <w:pPr>
              <w:rPr>
                <w:rFonts w:ascii="Segoe UI" w:hAnsi="Segoe UI" w:cs="Segoe UI"/>
                <w:b/>
                <w:bCs/>
                <w:iCs/>
                <w:sz w:val="24"/>
                <w:szCs w:val="24"/>
                <w:lang w:val="en-IN"/>
              </w:rPr>
            </w:pPr>
            <w:r w:rsidRPr="00FE2C03">
              <w:rPr>
                <w:rFonts w:ascii="Segoe UI" w:hAnsi="Segoe UI" w:cs="Segoe UI"/>
                <w:b/>
                <w:bCs/>
                <w:iCs/>
                <w:sz w:val="24"/>
                <w:szCs w:val="24"/>
                <w:lang w:val="en-IN"/>
              </w:rPr>
              <w:t>241VMTR01558</w:t>
            </w:r>
          </w:p>
        </w:tc>
        <w:tc>
          <w:tcPr>
            <w:tcW w:w="4682" w:type="dxa"/>
            <w:vAlign w:val="center"/>
          </w:tcPr>
          <w:p w:rsidR="00DD6E5F" w:rsidRDefault="00DD6E5F" w:rsidP="00DB284F">
            <w:pPr>
              <w:jc w:val="center"/>
              <w:rPr>
                <w:rFonts w:ascii="Segoe UI" w:hAnsi="Segoe UI" w:cs="Segoe UI"/>
                <w:bCs/>
                <w:iCs/>
                <w:sz w:val="24"/>
                <w:szCs w:val="24"/>
                <w:lang w:val="en-IN"/>
              </w:rPr>
            </w:pPr>
          </w:p>
        </w:tc>
      </w:tr>
      <w:tr w:rsidR="00DD6E5F" w:rsidTr="00DB284F">
        <w:trPr>
          <w:trHeight w:val="626"/>
        </w:trPr>
        <w:tc>
          <w:tcPr>
            <w:tcW w:w="4682" w:type="dxa"/>
            <w:vAlign w:val="center"/>
          </w:tcPr>
          <w:p w:rsidR="00DD6E5F" w:rsidRPr="00FE2C03" w:rsidRDefault="00DD6E5F" w:rsidP="00DB284F">
            <w:pPr>
              <w:rPr>
                <w:rFonts w:ascii="Segoe UI" w:hAnsi="Segoe UI" w:cs="Segoe UI"/>
                <w:b/>
                <w:bCs/>
                <w:iCs/>
                <w:sz w:val="24"/>
                <w:szCs w:val="24"/>
                <w:lang w:val="en-IN"/>
              </w:rPr>
            </w:pPr>
            <w:r w:rsidRPr="00FE2C03">
              <w:rPr>
                <w:rFonts w:ascii="Segoe UI" w:hAnsi="Segoe UI" w:cs="Segoe UI"/>
                <w:b/>
                <w:bCs/>
                <w:iCs/>
                <w:sz w:val="24"/>
                <w:szCs w:val="24"/>
                <w:lang w:val="en-IN"/>
              </w:rPr>
              <w:t>Elective</w:t>
            </w:r>
          </w:p>
        </w:tc>
        <w:tc>
          <w:tcPr>
            <w:tcW w:w="4682" w:type="dxa"/>
            <w:vAlign w:val="center"/>
          </w:tcPr>
          <w:p w:rsidR="00DD6E5F" w:rsidRDefault="00DD6E5F" w:rsidP="00DB284F">
            <w:pPr>
              <w:jc w:val="center"/>
              <w:rPr>
                <w:rFonts w:ascii="Segoe UI" w:hAnsi="Segoe UI" w:cs="Segoe UI"/>
                <w:bCs/>
                <w:iCs/>
                <w:sz w:val="24"/>
                <w:szCs w:val="24"/>
                <w:lang w:val="en-IN"/>
              </w:rPr>
            </w:pPr>
          </w:p>
        </w:tc>
      </w:tr>
      <w:tr w:rsidR="00DD6E5F" w:rsidTr="00DB284F">
        <w:trPr>
          <w:trHeight w:val="628"/>
        </w:trPr>
        <w:tc>
          <w:tcPr>
            <w:tcW w:w="4682" w:type="dxa"/>
            <w:vAlign w:val="center"/>
          </w:tcPr>
          <w:p w:rsidR="00DD6E5F" w:rsidRPr="00FE2C03" w:rsidRDefault="00DD6E5F" w:rsidP="00DB284F">
            <w:pPr>
              <w:rPr>
                <w:rFonts w:ascii="Segoe UI" w:hAnsi="Segoe UI" w:cs="Segoe UI"/>
                <w:b/>
                <w:bCs/>
                <w:iCs/>
                <w:sz w:val="24"/>
                <w:szCs w:val="24"/>
                <w:lang w:val="en-IN"/>
              </w:rPr>
            </w:pPr>
            <w:r w:rsidRPr="00FE2C03">
              <w:rPr>
                <w:rFonts w:ascii="Segoe UI" w:hAnsi="Segoe UI" w:cs="Segoe UI"/>
                <w:b/>
                <w:bCs/>
                <w:iCs/>
                <w:sz w:val="24"/>
                <w:szCs w:val="24"/>
                <w:lang w:val="en-IN"/>
              </w:rPr>
              <w:t>25-06-2026</w:t>
            </w:r>
          </w:p>
        </w:tc>
        <w:tc>
          <w:tcPr>
            <w:tcW w:w="4682" w:type="dxa"/>
            <w:vAlign w:val="center"/>
          </w:tcPr>
          <w:p w:rsidR="00DD6E5F" w:rsidRDefault="00DD6E5F" w:rsidP="00DB284F">
            <w:pPr>
              <w:jc w:val="center"/>
              <w:rPr>
                <w:rFonts w:ascii="Segoe UI" w:hAnsi="Segoe UI" w:cs="Segoe UI"/>
                <w:bCs/>
                <w:iCs/>
                <w:sz w:val="24"/>
                <w:szCs w:val="24"/>
                <w:lang w:val="en-IN"/>
              </w:rPr>
            </w:pPr>
          </w:p>
        </w:tc>
      </w:tr>
    </w:tbl>
    <w:p w:rsidR="00DD6E5F" w:rsidRDefault="00DD6E5F" w:rsidP="00DD6E5F">
      <w:pPr>
        <w:rPr>
          <w:rFonts w:ascii="Segoe UI" w:hAnsi="Segoe UI" w:cs="Segoe UI"/>
          <w:bCs/>
          <w:iCs/>
          <w:sz w:val="24"/>
          <w:szCs w:val="24"/>
          <w:lang w:val="en-IN"/>
        </w:rPr>
      </w:pPr>
    </w:p>
    <w:p w:rsidR="00DD6E5F" w:rsidRDefault="00DD6E5F" w:rsidP="00DD6E5F">
      <w:pPr>
        <w:rPr>
          <w:rFonts w:ascii="Segoe UI" w:hAnsi="Segoe UI" w:cs="Segoe UI"/>
          <w:bCs/>
          <w:iCs/>
          <w:sz w:val="24"/>
          <w:szCs w:val="24"/>
          <w:lang w:val="en-IN"/>
        </w:rPr>
      </w:pPr>
      <w:r>
        <w:rPr>
          <w:rFonts w:ascii="Segoe UI" w:hAnsi="Segoe UI" w:cs="Segoe UI"/>
          <w:bCs/>
          <w:iCs/>
          <w:sz w:val="24"/>
          <w:szCs w:val="24"/>
          <w:lang w:val="en-IN"/>
        </w:rPr>
        <w:br w:type="page"/>
      </w:r>
    </w:p>
    <w:p w:rsidR="00B94A28" w:rsidRPr="00DD6E5F" w:rsidRDefault="00DD6E5F">
      <w:pPr>
        <w:rPr>
          <w:sz w:val="24"/>
          <w:szCs w:val="24"/>
        </w:rPr>
      </w:pPr>
      <w:r w:rsidRPr="00DD6E5F">
        <w:rPr>
          <w:sz w:val="24"/>
          <w:szCs w:val="24"/>
        </w:rPr>
        <w:lastRenderedPageBreak/>
        <w:t>A Presentation or a PDF file of the Research Methodology covering the following points should be uploaded on ERP:</w:t>
      </w:r>
    </w:p>
    <w:p w:rsidR="00DD6E5F" w:rsidRPr="00DD6E5F" w:rsidRDefault="00DD6E5F">
      <w:pPr>
        <w:rPr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numPr>
          <w:ilvl w:val="0"/>
          <w:numId w:val="1"/>
        </w:numPr>
        <w:rPr>
          <w:rFonts w:cstheme="minorHAnsi"/>
          <w:b/>
          <w:sz w:val="28"/>
          <w:szCs w:val="28"/>
        </w:rPr>
      </w:pPr>
      <w:r w:rsidRPr="00DD6E5F">
        <w:rPr>
          <w:rFonts w:cstheme="minorHAnsi"/>
          <w:b/>
          <w:sz w:val="28"/>
          <w:szCs w:val="28"/>
        </w:rPr>
        <w:t>Objectives of the Study</w:t>
      </w:r>
      <w:r w:rsidRPr="00DD6E5F">
        <w:rPr>
          <w:rFonts w:cstheme="minorHAnsi"/>
          <w:b/>
          <w:sz w:val="28"/>
          <w:szCs w:val="28"/>
        </w:rPr>
        <w:t xml:space="preserve">: </w:t>
      </w:r>
    </w:p>
    <w:p>
      <w:r>
        <w:t xml:space="preserve">The primary objectives of the study are to implement an intelligent personal finance tracking dashboard that replaces manual tracking with machine learning: </w:t>
        <w:br/>
        <w:t>1. Automated Transaction Classification: To design and implement a machine learning classifier using TF-IDF vectorization and Multinomial Naive Bayes algorithms to automatically categorize transaction details into predefined expense classes (e.g., Food, Travel, Entertainment).</w:t>
        <w:br/>
        <w:t>2. Spending Anomaly Detection: To incorporate an Isolation Forest model that flags outliers in transaction amounts and frequency relative to historical spending behavior.</w:t>
        <w:br/>
        <w:t>3. Portfolio Analytics &amp; Asset Allocation: To calculate user portfolio diversification levels and compute weighted purchase averages from transactional buy/sell logs.</w:t>
        <w:br/>
        <w:t>4. Wealth Projection &amp; Target Forecasting: To simulate 10-30 year compounded portfolio trajectories using Monte Carlo statistical models to evaluate user financial goal success rates.</w:t>
      </w:r>
    </w:p>
    <w:p w:rsidR="00DD6E5F" w:rsidRDefault="00DD6E5F" w:rsidP="00DD6E5F">
      <w:pPr>
        <w:pStyle w:val="ListParagraph"/>
        <w:ind w:left="765"/>
        <w:rPr>
          <w:rFonts w:ascii="Arial" w:hAnsi="Arial" w:cs="Arial"/>
          <w:b/>
          <w:sz w:val="28"/>
          <w:szCs w:val="28"/>
        </w:rPr>
      </w:pPr>
    </w:p>
    <w:p w:rsidR="00DD6E5F" w:rsidRDefault="00DD6E5F" w:rsidP="00DD6E5F">
      <w:pPr>
        <w:pStyle w:val="ListParagraph"/>
        <w:ind w:left="765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ind w:left="765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ind w:left="765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DD6E5F">
        <w:rPr>
          <w:b/>
          <w:sz w:val="28"/>
          <w:szCs w:val="28"/>
        </w:rPr>
        <w:t>Scope of the Study</w:t>
      </w:r>
    </w:p>
    <w:p>
      <w:r>
        <w:t xml:space="preserve">The scope of this project extends to individual users seeking intelligent financial guidance and asset allocation management: </w:t>
        <w:br/>
        <w:t>1. Automated Ledger Management: Facilitates drag-and-drop CSV statement imports with high-accuracy category mapping.</w:t>
        <w:br/>
        <w:t>2. Real-time Asset Tracking: Dynamically fetches asset prices (stocks, mutual funds NAV) via integrations with Yahoo Finance and AMFI APIs.</w:t>
        <w:br/>
        <w:t>3. Interactive Risk Profiling: Evaluates user risk appetites and applies Robo-Advisor rules to suggest rebalancing changes.</w:t>
        <w:br/>
        <w:t>4. Conversational Action Chatbot: Offers an assistant dialogue interface that parses natural language and executes database writes (adding transactions, goals, budgets) automatically.</w:t>
      </w:r>
    </w:p>
    <w:p w:rsidR="00DD6E5F" w:rsidRPr="00DD6E5F" w:rsidRDefault="00DD6E5F" w:rsidP="00DD6E5F">
      <w:pPr>
        <w:pStyle w:val="ListParagraph"/>
        <w:ind w:left="765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ind w:left="765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ind w:left="765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ind w:left="765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DD6E5F">
        <w:rPr>
          <w:b/>
          <w:sz w:val="28"/>
          <w:szCs w:val="28"/>
        </w:rPr>
        <w:t>Methodology</w:t>
      </w:r>
    </w:p>
    <w:p>
      <w:r>
        <w:t>The methodology follows a robust data pipeline:</w:t>
        <w:br/>
        <w:t>- Core Stack: The system is designed as a distributed application using React.js (frontend visualization), Node.js/Express.js (backend routing/data operations), MongoDB (document database), and Python/Flask (machine learning processing).</w:t>
        <w:br/>
        <w:t>- Data Processing Pipeline: CSV bank statement rows are parsed in JavaScript, mapped into JSON payloads, and classified on the Flask server using scikit-learn models. Transactions are evaluated for anomalies against historical means.</w:t>
        <w:br/>
        <w:t>- Stochastic Modeling Engine: The wealth simulator calculates random annual returns using Normal distribution samplings based on mean returns and volatilities corresponding to Conservative (7%/3%), Balanced (11%/8%), and Aggressive (15%/14%) asset profiles. It runs 1,000 parallel paths to identify statistical confidence percentiles.</w:t>
      </w:r>
    </w:p>
    <w:p w:rsidR="00DD6E5F" w:rsidRPr="00DD6E5F" w:rsidRDefault="00DD6E5F" w:rsidP="00DD6E5F">
      <w:pPr>
        <w:pStyle w:val="ListParagraph"/>
        <w:ind w:left="765"/>
        <w:rPr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ind w:left="765"/>
        <w:rPr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ind w:left="765"/>
        <w:rPr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ind w:left="765"/>
        <w:rPr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ind w:left="765"/>
        <w:rPr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DD6E5F">
        <w:rPr>
          <w:b/>
          <w:sz w:val="28"/>
          <w:szCs w:val="28"/>
        </w:rPr>
        <w:t>Research Design</w:t>
      </w:r>
    </w:p>
    <w:p>
      <w:r>
        <w:t>The study employs an empirical, application-based research design focused on quantitative financial analytics and machine learning. The research design is structured into three consecutive modules: (1) NLP Text Classification of financial descriptions; (2) Unsupervised Outlier Modeling for category-wise transaction anomalies; and (3) Stochastic projections via Monte Carlo compounding simulations. This design combines experimental data science models with a full-stack user-facing dashboard, verifying performance metrics across simulated risk profiles (Conservative, Balanced, Aggressive) to evaluate success likelihoods for financial savings goals.</w:t>
      </w:r>
    </w:p>
    <w:p w:rsidR="00DD6E5F" w:rsidRDefault="00DD6E5F" w:rsidP="00DD6E5F">
      <w:pPr>
        <w:pStyle w:val="ListParagraph"/>
        <w:ind w:left="765"/>
        <w:rPr>
          <w:b/>
          <w:sz w:val="28"/>
          <w:szCs w:val="28"/>
        </w:rPr>
      </w:pPr>
    </w:p>
    <w:p w:rsidR="00DD6E5F" w:rsidRDefault="00DD6E5F" w:rsidP="00DD6E5F">
      <w:pPr>
        <w:pStyle w:val="ListParagraph"/>
        <w:ind w:left="765"/>
        <w:rPr>
          <w:b/>
          <w:sz w:val="28"/>
          <w:szCs w:val="28"/>
        </w:rPr>
      </w:pPr>
    </w:p>
    <w:p w:rsidR="00DD6E5F" w:rsidRDefault="00DD6E5F" w:rsidP="00DD6E5F">
      <w:pPr>
        <w:pStyle w:val="ListParagraph"/>
        <w:ind w:left="765"/>
        <w:rPr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ind w:left="765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DD6E5F">
        <w:rPr>
          <w:b/>
          <w:sz w:val="28"/>
          <w:szCs w:val="28"/>
        </w:rPr>
        <w:t>Data Collection Method</w:t>
      </w:r>
    </w:p>
    <w:p>
      <w:r>
        <w:t xml:space="preserve">The research utilizes secondary data collection channels to build transaction models and fetch real-time valuations: </w:t>
        <w:br/>
        <w:t xml:space="preserve">- API Integrations: Dynamically retrieves daily mutual fund Net Asset Values (NAV) via AMFI APIs and equity quotes via Yahoo Finance APIs to calculate current asset values and returns. </w:t>
        <w:br/>
        <w:t xml:space="preserve">- User Statements (CSV/Excel Uploads): Gathers transactional history through user-uploaded bank statements. </w:t>
        <w:br/>
        <w:t>- Reference Corpora: Uses pre-labeled financial datasets mapping merchant keywords (e.g. Swiggy, Netflix, Uber) to target categories (Food, Entertainment, Transport) to train the classification models.</w:t>
      </w:r>
    </w:p>
    <w:p w:rsidR="00DD6E5F" w:rsidRPr="00DD6E5F" w:rsidRDefault="00DD6E5F" w:rsidP="00DD6E5F">
      <w:pPr>
        <w:pStyle w:val="ListParagraph"/>
        <w:ind w:left="765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DD6E5F">
        <w:rPr>
          <w:b/>
          <w:sz w:val="28"/>
          <w:szCs w:val="28"/>
        </w:rPr>
        <w:t>Sampling Method (if applicable)</w:t>
      </w:r>
    </w:p>
    <w:p>
      <w:r>
        <w:t xml:space="preserve">Sampling is applicable during the Monte Carlo projection compounding simulations. The study uses random sampling from a normal probability distribution (stochastic modeling) representing the expected mean yield and volatility (standard deviation) of the portfolio strategies: </w:t>
        <w:br/>
        <w:t xml:space="preserve">- Conservative Sample: Mean return of 7% and standard deviation of 3% representing low-risk assets. </w:t>
        <w:br/>
        <w:t xml:space="preserve">- Balanced Sample: Mean return of 11% and standard deviation of 8% representing balanced mutual fund indices. </w:t>
        <w:br/>
        <w:t xml:space="preserve">- Aggressive Sample: Mean return of 15% and standard deviation of 14% representing equity benchmarks. </w:t>
        <w:br/>
        <w:t>A total of 1,000 independent simulation runs are sampled for each projection run to construct the 10th, 50th, and 90th percentile wealth bands.</w:t>
      </w:r>
    </w:p>
    <w:p w:rsidR="00DD6E5F" w:rsidRPr="00DD6E5F" w:rsidRDefault="00DD6E5F" w:rsidP="00DD6E5F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DD6E5F" w:rsidRDefault="00DD6E5F" w:rsidP="00DD6E5F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rPr>
          <w:rFonts w:ascii="Arial" w:hAnsi="Arial" w:cs="Arial"/>
          <w:b/>
          <w:sz w:val="28"/>
          <w:szCs w:val="28"/>
        </w:rPr>
      </w:pPr>
    </w:p>
    <w:p w:rsidR="00DD6E5F" w:rsidRPr="00DD6E5F" w:rsidRDefault="00DD6E5F" w:rsidP="00DD6E5F">
      <w:pPr>
        <w:pStyle w:val="ListParagraph"/>
        <w:numPr>
          <w:ilvl w:val="0"/>
          <w:numId w:val="1"/>
        </w:numPr>
        <w:rPr>
          <w:rFonts w:ascii="Arial" w:hAnsi="Arial" w:cs="Arial"/>
          <w:b/>
          <w:sz w:val="28"/>
          <w:szCs w:val="28"/>
        </w:rPr>
      </w:pPr>
      <w:r w:rsidRPr="00DD6E5F">
        <w:rPr>
          <w:b/>
          <w:sz w:val="28"/>
          <w:szCs w:val="28"/>
        </w:rPr>
        <w:t>Data Analysis Tools</w:t>
      </w:r>
    </w:p>
    <w:p>
      <w:r>
        <w:t xml:space="preserve">The data analysis pipeline uses several specialized software tools and analytical libraries: </w:t>
        <w:br/>
        <w:t xml:space="preserve">- Scikit-Learn: Used to perform TF-IDF vectorization and train the Multinomial Naive Bayes text classification model, as well as executing the Isolation Forest anomaly detector. </w:t>
        <w:br/>
        <w:t xml:space="preserve">- NumPy and Pandas: Utilized for mathematical simulations, array operations, and data frame parsing. </w:t>
        <w:br/>
        <w:t xml:space="preserve">- Recharts Library: A React-based charting framework used to plot asset allocation donut charts, budget progress levels, and Monte Carlo probability percentile curves. </w:t>
        <w:br/>
        <w:t>- Node.js &amp; Mongoose: Used for data engineering, validation, and managing transaction databases on MongoDB.</w:t>
      </w:r>
    </w:p>
    <w:sectPr w:rsidR="00DD6E5F" w:rsidRPr="00DD6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4B635D"/>
    <w:multiLevelType w:val="hybridMultilevel"/>
    <w:tmpl w:val="121042E2"/>
    <w:lvl w:ilvl="0" w:tplc="0409000B">
      <w:start w:val="1"/>
      <w:numFmt w:val="bullet"/>
      <w:lvlText w:val=""/>
      <w:lvlJc w:val="left"/>
      <w:pPr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E5F"/>
    <w:rsid w:val="00336CD9"/>
    <w:rsid w:val="00C709B5"/>
    <w:rsid w:val="00DD6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84655"/>
  <w15:chartTrackingRefBased/>
  <w15:docId w15:val="{43CD943F-E97F-4F16-8CE5-66CE2AA4A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6E5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D6E5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D6E5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55</Words>
  <Characters>317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2024-04-16T04:09:00Z</dcterms:created>
  <dcterms:modified xsi:type="dcterms:W3CDTF">2024-04-16T04:16:00Z</dcterms:modified>
</cp:coreProperties>
</file>