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pPr>
      <w:r>
        <w:rPr>
          <w:rFonts w:ascii="Segoe UI" w:hAnsi="Segoe UI"/>
          <w:b/>
          <w:color w:val="141E26"/>
          <w:sz w:val="48"/>
        </w:rPr>
        <w:t>ROBONICS WEBSITE SPECIFICATION BLUEPRINT</w:t>
      </w:r>
    </w:p>
    <w:p>
      <w:pPr>
        <w:spacing w:after="560"/>
      </w:pPr>
      <w:r>
        <w:rPr>
          <w:rFonts w:ascii="Segoe UI" w:hAnsi="Segoe UI"/>
          <w:color w:val="008C9B"/>
          <w:sz w:val="24"/>
        </w:rPr>
        <w:t>Full Structural Layout, Comprehensive Editorial Copy, &amp; Technical Specifications</w:t>
      </w:r>
    </w:p>
    <w:p>
      <w:pPr>
        <w:spacing w:after="160" w:line="276" w:lineRule="auto"/>
      </w:pPr>
      <w:r>
        <w:rPr>
          <w:rFonts w:ascii="Segoe UI" w:hAnsi="Segoe UI"/>
          <w:i w:val="0"/>
          <w:color w:val="32373C"/>
          <w:sz w:val="21"/>
        </w:rPr>
        <w:t>This document establishes the exhaustive architectural blueprint and functional specifications for the upcoming ROBONICS website ecosystem. It details layout systems, typography configurations, production-ready copywriting assets, front-end rendering parameters, and back-end interface requirements. This document functions as an explicit handbook for both design implementation and development engineering workflows.</w:t>
      </w:r>
    </w:p>
    <w:p>
      <w:pPr>
        <w:keepNext/>
        <w:spacing w:before="480" w:after="120"/>
      </w:pPr>
      <w:r>
        <w:rPr>
          <w:rFonts w:ascii="Segoe UI" w:hAnsi="Segoe UI"/>
          <w:b/>
          <w:color w:val="141E26"/>
          <w:sz w:val="36"/>
        </w:rPr>
        <w:t>1. Page 1: Home Page (The Hero Portal)</w:t>
      </w:r>
    </w:p>
    <w:p>
      <w:pPr>
        <w:spacing w:after="160" w:line="276" w:lineRule="auto"/>
      </w:pPr>
      <w:r>
        <w:rPr>
          <w:rFonts w:ascii="Segoe UI" w:hAnsi="Segoe UI"/>
          <w:i w:val="0"/>
          <w:color w:val="32373C"/>
          <w:sz w:val="21"/>
        </w:rPr>
        <w:t>The Home Page is designed to capture attention immediately by presenting a balanced contrast between corporate technology and hardcore mechanical engineering. The screen space utilizes a fluid multi-viewport split layout that coordinates physical assets on one side with raw informational text on the other.</w:t>
      </w:r>
    </w:p>
    <w:p>
      <w:pPr>
        <w:keepNext/>
        <w:spacing w:before="360" w:after="120"/>
      </w:pPr>
      <w:r>
        <w:rPr>
          <w:rFonts w:ascii="Segoe UI" w:hAnsi="Segoe UI"/>
          <w:b/>
          <w:color w:val="008C9B"/>
          <w:sz w:val="26"/>
        </w:rPr>
        <w:t>UI/UX Layout Architecture &amp; Components</w:t>
      </w:r>
    </w:p>
    <w:p>
      <w:pPr>
        <w:pStyle w:val="ListBullet"/>
        <w:spacing w:after="80" w:line="276" w:lineRule="auto"/>
      </w:pPr>
      <w:r>
        <w:rPr>
          <w:rFonts w:ascii="Segoe UI" w:hAnsi="Segoe UI"/>
          <w:b/>
          <w:color w:val="141E26"/>
          <w:sz w:val="21"/>
        </w:rPr>
        <w:t xml:space="preserve">• Central Semi-Circular Arc: </w:t>
      </w:r>
      <w:r>
        <w:rPr>
          <w:rFonts w:ascii="Segoe UI" w:hAnsi="Segoe UI"/>
          <w:i w:val="0"/>
          <w:color w:val="32373C"/>
          <w:sz w:val="21"/>
        </w:rPr>
        <w:t xml:space="preserve"> A physical geometric element constructed as an ultra-thin SVG curve that dynamically runs vertically down the centerline of the screen. It separates content blocks while maintaining high-tech aesthetics with a soft ambient neon pulse animation.</w:t>
      </w:r>
    </w:p>
    <w:p>
      <w:pPr>
        <w:pStyle w:val="ListBullet"/>
        <w:spacing w:after="80" w:line="276" w:lineRule="auto"/>
      </w:pPr>
      <w:r>
        <w:rPr>
          <w:rFonts w:ascii="Segoe UI" w:hAnsi="Segoe UI"/>
          <w:b/>
          <w:color w:val="141E26"/>
          <w:sz w:val="21"/>
        </w:rPr>
        <w:t xml:space="preserve">• Left Identity Block: </w:t>
      </w:r>
      <w:r>
        <w:rPr>
          <w:rFonts w:ascii="Segoe UI" w:hAnsi="Segoe UI"/>
          <w:i w:val="0"/>
          <w:color w:val="32373C"/>
          <w:sz w:val="21"/>
        </w:rPr>
        <w:t xml:space="preserve"> Occupies the entire left visual field. Content is arranged with sharp typographic contrast, emphasizing the team name and identity details.</w:t>
      </w:r>
    </w:p>
    <w:p>
      <w:pPr>
        <w:pStyle w:val="ListBullet"/>
        <w:spacing w:after="120" w:line="276" w:lineRule="auto"/>
      </w:pPr>
      <w:r>
        <w:rPr>
          <w:rFonts w:ascii="Segoe UI" w:hAnsi="Segoe UI"/>
          <w:b/>
          <w:color w:val="141E26"/>
          <w:sz w:val="21"/>
        </w:rPr>
        <w:t xml:space="preserve">• Right Interactive Canvas: </w:t>
      </w:r>
      <w:r>
        <w:rPr>
          <w:rFonts w:ascii="Segoe UI" w:hAnsi="Segoe UI"/>
          <w:i w:val="0"/>
          <w:color w:val="32373C"/>
          <w:sz w:val="21"/>
        </w:rPr>
        <w:t xml:space="preserve"> Houses a dedicated WebGL rendering canvas that isolates a futuristic robot asset or an optimized video montage against an obsidian canvas backdrop.</w:t>
      </w:r>
    </w:p>
    <w:p>
      <w:pPr>
        <w:keepNext/>
        <w:spacing w:before="360" w:after="120"/>
      </w:pPr>
      <w:r>
        <w:rPr>
          <w:rFonts w:ascii="Segoe UI" w:hAnsi="Segoe UI"/>
          <w:b/>
          <w:color w:val="141E26"/>
          <w:sz w:val="22"/>
        </w:rPr>
        <w:t>Production-Ready Content Copy &amp; Asset Matrix</w:t>
      </w:r>
    </w:p>
    <w:tbl>
      <w:tblPr>
        <w:tblW w:type="auto" w:w="0"/>
        <w:jc w:val="center"/>
        <w:tblLook w:firstColumn="1" w:firstRow="1" w:lastColumn="0" w:lastRow="0" w:noHBand="0" w:noVBand="1" w:val="04A0"/>
      </w:tblPr>
      <w:tblGrid>
        <w:gridCol w:w="4680"/>
        <w:gridCol w:w="4680"/>
      </w:tblGrid>
      <w:tr>
        <w:tc>
          <w:tcPr>
            <w:tcW w:type="dxa" w:w="4680"/>
            <w:shd w:fill="141E26"/>
            <w:tcMar>
              <w:top w:w="140" w:type="dxa"/>
              <w:bottom w:w="140" w:type="dxa"/>
              <w:left w:w="160" w:type="dxa"/>
              <w:right w:w="160" w:type="dxa"/>
            </w:tcMar>
          </w:tcPr>
          <w:p>
            <w:r>
              <w:rPr>
                <w:rFonts w:ascii="Segoe UI" w:hAnsi="Segoe UI"/>
                <w:b/>
                <w:color w:val="FFFFFF"/>
              </w:rPr>
              <w:t>Component Tag</w:t>
            </w:r>
          </w:p>
        </w:tc>
        <w:tc>
          <w:tcPr>
            <w:tcW w:type="dxa" w:w="4680"/>
            <w:shd w:fill="141E26"/>
            <w:tcMar>
              <w:top w:w="140" w:type="dxa"/>
              <w:bottom w:w="140" w:type="dxa"/>
              <w:left w:w="160" w:type="dxa"/>
              <w:right w:w="160" w:type="dxa"/>
            </w:tcMar>
          </w:tcPr>
          <w:p>
            <w:r>
              <w:rPr>
                <w:rFonts w:ascii="Segoe UI" w:hAnsi="Segoe UI"/>
                <w:b/>
                <w:color w:val="FFFFFF"/>
              </w:rPr>
              <w:t>Production Asset / Engineering Requirement</w:t>
            </w:r>
          </w:p>
        </w:tc>
      </w:tr>
      <w:tr>
        <w:tc>
          <w:tcPr>
            <w:tcW w:type="dxa" w:w="4680"/>
            <w:tcMar>
              <w:top w:w="140" w:type="dxa"/>
              <w:bottom w:w="140" w:type="dxa"/>
              <w:left w:w="160" w:type="dxa"/>
              <w:right w:w="160" w:type="dxa"/>
            </w:tcMar>
          </w:tcPr>
          <w:p>
            <w:r>
              <w:rPr>
                <w:rFonts w:ascii="Segoe UI" w:hAnsi="Segoe UI"/>
                <w:color w:val="32373C"/>
                <w:sz w:val="19"/>
              </w:rPr>
              <w:t>Main Brand Identity</w:t>
            </w:r>
          </w:p>
        </w:tc>
        <w:tc>
          <w:tcPr>
            <w:tcW w:type="dxa" w:w="4680"/>
            <w:tcMar>
              <w:top w:w="140" w:type="dxa"/>
              <w:bottom w:w="140" w:type="dxa"/>
              <w:left w:w="160" w:type="dxa"/>
              <w:right w:w="160" w:type="dxa"/>
            </w:tcMar>
          </w:tcPr>
          <w:p>
            <w:r>
              <w:rPr>
                <w:rFonts w:ascii="Segoe UI" w:hAnsi="Segoe UI"/>
                <w:color w:val="32373C"/>
                <w:sz w:val="19"/>
              </w:rPr>
              <w:t>Heading Text: ROBONICS</w:t>
              <w:br/>
              <w:t>Font Specification: Segoe UI, Uppercase, Weight 800, Letter Spacing: 0.18rem.</w:t>
            </w:r>
          </w:p>
        </w:tc>
      </w:tr>
      <w:tr>
        <w:tc>
          <w:tcPr>
            <w:tcW w:type="dxa" w:w="4680"/>
            <w:tcMar>
              <w:top w:w="140" w:type="dxa"/>
              <w:bottom w:w="140" w:type="dxa"/>
              <w:left w:w="160" w:type="dxa"/>
              <w:right w:w="160" w:type="dxa"/>
            </w:tcMar>
            <w:shd w:fill="F5F7F8"/>
          </w:tcPr>
          <w:p>
            <w:r>
              <w:rPr>
                <w:rFonts w:ascii="Segoe UI" w:hAnsi="Segoe UI"/>
                <w:color w:val="32373C"/>
                <w:sz w:val="19"/>
              </w:rPr>
              <w:t>Group Tagline</w:t>
            </w:r>
          </w:p>
        </w:tc>
        <w:tc>
          <w:tcPr>
            <w:tcW w:type="dxa" w:w="4680"/>
            <w:tcMar>
              <w:top w:w="140" w:type="dxa"/>
              <w:bottom w:w="140" w:type="dxa"/>
              <w:left w:w="160" w:type="dxa"/>
              <w:right w:w="160" w:type="dxa"/>
            </w:tcMar>
            <w:shd w:fill="F5F7F8"/>
          </w:tcPr>
          <w:p>
            <w:r>
              <w:rPr>
                <w:rFonts w:ascii="Segoe UI" w:hAnsi="Segoe UI"/>
                <w:color w:val="32373C"/>
                <w:sz w:val="19"/>
              </w:rPr>
              <w:t>Tagline Text: 'Engineering Autonomy, Designing the Future.'</w:t>
              <w:br/>
              <w:t>Description: Emphasizes our core focus on physical computing systems and intelligent edge platforms.</w:t>
            </w:r>
          </w:p>
        </w:tc>
      </w:tr>
      <w:tr>
        <w:tc>
          <w:tcPr>
            <w:tcW w:type="dxa" w:w="4680"/>
            <w:tcMar>
              <w:top w:w="140" w:type="dxa"/>
              <w:bottom w:w="140" w:type="dxa"/>
              <w:left w:w="160" w:type="dxa"/>
              <w:right w:w="160" w:type="dxa"/>
            </w:tcMar>
          </w:tcPr>
          <w:p>
            <w:r>
              <w:rPr>
                <w:rFonts w:ascii="Segoe UI" w:hAnsi="Segoe UI"/>
                <w:color w:val="32373C"/>
                <w:sz w:val="19"/>
              </w:rPr>
              <w:t>Macro Metrics Bar</w:t>
            </w:r>
          </w:p>
        </w:tc>
        <w:tc>
          <w:tcPr>
            <w:tcW w:type="dxa" w:w="4680"/>
            <w:tcMar>
              <w:top w:w="140" w:type="dxa"/>
              <w:bottom w:w="140" w:type="dxa"/>
              <w:left w:w="160" w:type="dxa"/>
              <w:right w:w="160" w:type="dxa"/>
            </w:tcMar>
          </w:tcPr>
          <w:p>
            <w:r>
              <w:rPr>
                <w:rFonts w:ascii="Segoe UI" w:hAnsi="Segoe UI"/>
                <w:color w:val="32373C"/>
                <w:sz w:val="19"/>
              </w:rPr>
              <w:t>Data Elements:</w:t>
              <w:br/>
              <w:t>- 15+ Core Specialists</w:t>
              <w:br/>
              <w:t>- 08+ Completed Kinetic Platforms</w:t>
              <w:br/>
              <w:t>- 98% Localization Precision Rating</w:t>
            </w:r>
          </w:p>
        </w:tc>
      </w:tr>
      <w:tr>
        <w:tc>
          <w:tcPr>
            <w:tcW w:type="dxa" w:w="4680"/>
            <w:tcMar>
              <w:top w:w="140" w:type="dxa"/>
              <w:bottom w:w="140" w:type="dxa"/>
              <w:left w:w="160" w:type="dxa"/>
              <w:right w:w="160" w:type="dxa"/>
            </w:tcMar>
            <w:shd w:fill="F5F7F8"/>
          </w:tcPr>
          <w:p>
            <w:r>
              <w:rPr>
                <w:rFonts w:ascii="Segoe UI" w:hAnsi="Segoe UI"/>
                <w:color w:val="32373C"/>
                <w:sz w:val="19"/>
              </w:rPr>
              <w:t>Right-Side Asset Spec</w:t>
            </w:r>
          </w:p>
        </w:tc>
        <w:tc>
          <w:tcPr>
            <w:tcW w:type="dxa" w:w="4680"/>
            <w:tcMar>
              <w:top w:w="140" w:type="dxa"/>
              <w:bottom w:w="140" w:type="dxa"/>
              <w:left w:w="160" w:type="dxa"/>
              <w:right w:w="160" w:type="dxa"/>
            </w:tcMar>
            <w:shd w:fill="F5F7F8"/>
          </w:tcPr>
          <w:p>
            <w:r>
              <w:rPr>
                <w:rFonts w:ascii="Segoe UI" w:hAnsi="Segoe UI"/>
                <w:color w:val="32373C"/>
                <w:sz w:val="19"/>
              </w:rPr>
              <w:t>Option A (3D Scene): Low-poly GLTF quad-rotor/bipedal structural file using Three.js. Employs raycasting for subtle micro-rotations matching user mouse coordinates.</w:t>
              <w:br/>
              <w:t>Option B (Video Loop): 1080p, H.264 compressed MP4 file streaming field test telemetry at 60fps.</w:t>
            </w:r>
          </w:p>
        </w:tc>
      </w:tr>
    </w:tbl>
    <w:p>
      <w:pPr>
        <w:keepNext/>
        <w:spacing w:before="480" w:after="120"/>
      </w:pPr>
      <w:r>
        <w:rPr>
          <w:rFonts w:ascii="Segoe UI" w:hAnsi="Segoe UI"/>
          <w:b/>
          <w:color w:val="141E26"/>
          <w:sz w:val="36"/>
        </w:rPr>
        <w:t>2. Page 2: About Us Section</w:t>
      </w:r>
    </w:p>
    <w:p>
      <w:pPr>
        <w:spacing w:after="160" w:line="276" w:lineRule="auto"/>
      </w:pPr>
      <w:r>
        <w:rPr>
          <w:rFonts w:ascii="Segoe UI" w:hAnsi="Segoe UI"/>
          <w:i w:val="0"/>
          <w:color w:val="32373C"/>
          <w:sz w:val="21"/>
        </w:rPr>
        <w:t>The About Us page transitions the user from immediate technical visuals into an editorial space. This section outlines the philosophical background, operational purpose, and domain definitions of the ROBONICS group for stakeholders and researchers.</w:t>
      </w:r>
    </w:p>
    <w:p>
      <w:pPr>
        <w:keepNext/>
        <w:spacing w:before="360" w:after="120"/>
      </w:pPr>
      <w:r>
        <w:rPr>
          <w:rFonts w:ascii="Segoe UI" w:hAnsi="Segoe UI"/>
          <w:b/>
          <w:color w:val="008C9B"/>
          <w:sz w:val="26"/>
        </w:rPr>
        <w:t>Core Editorial Narrative Copy</w:t>
      </w:r>
    </w:p>
    <w:p>
      <w:pPr>
        <w:spacing w:after="240" w:line="276" w:lineRule="auto"/>
      </w:pPr>
      <w:r>
        <w:rPr>
          <w:rFonts w:ascii="Segoe UI" w:hAnsi="Segoe UI"/>
          <w:i/>
          <w:color w:val="32373C"/>
          <w:sz w:val="21"/>
        </w:rPr>
        <w:t>"ROBONICS operates as an elite interdisciplinary research and development collective centered around autonomous systems, embedded micro-electronics, and adaptive artificial intelligence. We nurture engineering talent by lowering the traditional barrier of entry into physical computing, complex field robotics, and cognitive system layouts. Our research is situated at the absolute nexus where structural physical computing meets real-time algorithmic execution."</w:t>
      </w:r>
    </w:p>
    <w:p>
      <w:pPr>
        <w:keepNext/>
        <w:spacing w:before="360" w:after="120"/>
      </w:pPr>
      <w:r>
        <w:rPr>
          <w:rFonts w:ascii="Segoe UI" w:hAnsi="Segoe UI"/>
          <w:b/>
          <w:color w:val="141E26"/>
          <w:sz w:val="22"/>
        </w:rPr>
        <w:t>The Core Strategic Pillars Framework</w:t>
      </w:r>
    </w:p>
    <w:p>
      <w:pPr>
        <w:pStyle w:val="ListBullet"/>
        <w:spacing w:after="80" w:line="276" w:lineRule="auto"/>
      </w:pPr>
      <w:r>
        <w:rPr>
          <w:rFonts w:ascii="Segoe UI" w:hAnsi="Segoe UI"/>
          <w:b/>
          <w:color w:val="141E26"/>
          <w:sz w:val="21"/>
        </w:rPr>
        <w:t xml:space="preserve">01 / Radical Innovation: </w:t>
      </w:r>
      <w:r>
        <w:rPr>
          <w:rFonts w:ascii="Segoe UI" w:hAnsi="Segoe UI"/>
          <w:i w:val="0"/>
          <w:color w:val="32373C"/>
          <w:sz w:val="21"/>
        </w:rPr>
        <w:t xml:space="preserve"> Overturning rigid, off-the-shelf boundaries. We design and manufacture custom multi-layered printed circuit boards (PCBs), write targeted firmware, and build physical frames that maximize torque density values.</w:t>
      </w:r>
    </w:p>
    <w:p>
      <w:pPr>
        <w:pStyle w:val="ListBullet"/>
        <w:spacing w:after="80" w:line="276" w:lineRule="auto"/>
      </w:pPr>
      <w:r>
        <w:rPr>
          <w:rFonts w:ascii="Segoe UI" w:hAnsi="Segoe UI"/>
          <w:b/>
          <w:color w:val="141E26"/>
          <w:sz w:val="21"/>
        </w:rPr>
        <w:t xml:space="preserve">02 / Pragmatic Education: </w:t>
      </w:r>
      <w:r>
        <w:rPr>
          <w:rFonts w:ascii="Segoe UI" w:hAnsi="Segoe UI"/>
          <w:i w:val="0"/>
          <w:color w:val="32373C"/>
          <w:sz w:val="21"/>
        </w:rPr>
        <w:t xml:space="preserve"> Democratizing specialized hardware engineering. We demystify hardware structures through deep mentorship, internal deep-dive laboratories, and open-source documentation sharing.</w:t>
      </w:r>
    </w:p>
    <w:p>
      <w:pPr>
        <w:pStyle w:val="ListBullet"/>
        <w:spacing w:after="240" w:line="276" w:lineRule="auto"/>
      </w:pPr>
      <w:r>
        <w:rPr>
          <w:rFonts w:ascii="Segoe UI" w:hAnsi="Segoe UI"/>
          <w:b/>
          <w:color w:val="141E26"/>
          <w:sz w:val="21"/>
        </w:rPr>
        <w:t xml:space="preserve">03 / Field-Ready Deployment: </w:t>
      </w:r>
      <w:r>
        <w:rPr>
          <w:rFonts w:ascii="Segoe UI" w:hAnsi="Segoe UI"/>
          <w:i w:val="0"/>
          <w:color w:val="32373C"/>
          <w:sz w:val="21"/>
        </w:rPr>
        <w:t xml:space="preserve"> Escaping the sterile limits of local development benches. Every autonomous unit is engineered to manage unstructured outdoor environments, power drops, and dynamic physical friction.</w:t>
      </w:r>
    </w:p>
    <w:p>
      <w:pPr>
        <w:keepNext/>
        <w:spacing w:before="480" w:after="120"/>
      </w:pPr>
      <w:r>
        <w:rPr>
          <w:rFonts w:ascii="Segoe UI" w:hAnsi="Segoe UI"/>
          <w:b/>
          <w:color w:val="141E26"/>
          <w:sz w:val="36"/>
        </w:rPr>
        <w:t>3. Page 3: Projects Module (Standardized Matrix)</w:t>
      </w:r>
    </w:p>
    <w:p>
      <w:pPr>
        <w:spacing w:after="160" w:line="276" w:lineRule="auto"/>
      </w:pPr>
      <w:r>
        <w:rPr>
          <w:rFonts w:ascii="Segoe UI" w:hAnsi="Segoe UI"/>
          <w:i w:val="0"/>
          <w:color w:val="32373C"/>
          <w:sz w:val="21"/>
        </w:rPr>
        <w:t>To support expanding development workloads, the project section is constructed around a modular structural template. Every individual machine, rover, or framework receives a uniform, high-fidelity profile page.</w:t>
      </w:r>
    </w:p>
    <w:p>
      <w:pPr>
        <w:keepNext/>
        <w:spacing w:before="360" w:after="120"/>
      </w:pPr>
      <w:r>
        <w:rPr>
          <w:rFonts w:ascii="Segoe UI" w:hAnsi="Segoe UI"/>
          <w:b/>
          <w:color w:val="008C9B"/>
          <w:sz w:val="26"/>
        </w:rPr>
        <w:t>Standard Project Architecture Layout</w:t>
      </w:r>
    </w:p>
    <w:tbl>
      <w:tblPr>
        <w:tblW w:type="auto" w:w="0"/>
        <w:jc w:val="center"/>
        <w:tblLook w:firstColumn="1" w:firstRow="1" w:lastColumn="0" w:lastRow="0" w:noHBand="0" w:noVBand="1" w:val="04A0"/>
      </w:tblPr>
      <w:tblGrid>
        <w:gridCol w:w="4680"/>
        <w:gridCol w:w="4680"/>
      </w:tblGrid>
      <w:tr>
        <w:tc>
          <w:tcPr>
            <w:tcW w:type="dxa" w:w="4680"/>
            <w:shd w:fill="141E26"/>
            <w:tcMar>
              <w:top w:w="140" w:type="dxa"/>
              <w:bottom w:w="140" w:type="dxa"/>
              <w:left w:w="160" w:type="dxa"/>
              <w:right w:w="160" w:type="dxa"/>
            </w:tcMar>
          </w:tcPr>
          <w:p>
            <w:r>
              <w:rPr>
                <w:rFonts w:ascii="Segoe UI" w:hAnsi="Segoe UI"/>
                <w:b/>
                <w:color w:val="FFFFFF"/>
              </w:rPr>
              <w:t>Component Tag</w:t>
            </w:r>
          </w:p>
        </w:tc>
        <w:tc>
          <w:tcPr>
            <w:tcW w:type="dxa" w:w="4680"/>
            <w:shd w:fill="141E26"/>
            <w:tcMar>
              <w:top w:w="140" w:type="dxa"/>
              <w:bottom w:w="140" w:type="dxa"/>
              <w:left w:w="160" w:type="dxa"/>
              <w:right w:w="160" w:type="dxa"/>
            </w:tcMar>
          </w:tcPr>
          <w:p>
            <w:r>
              <w:rPr>
                <w:rFonts w:ascii="Segoe UI" w:hAnsi="Segoe UI"/>
                <w:b/>
                <w:color w:val="FFFFFF"/>
              </w:rPr>
              <w:t>Production Asset / Engineering Requirement</w:t>
            </w:r>
          </w:p>
        </w:tc>
      </w:tr>
      <w:tr>
        <w:tc>
          <w:tcPr>
            <w:tcW w:type="dxa" w:w="4680"/>
            <w:tcMar>
              <w:top w:w="140" w:type="dxa"/>
              <w:bottom w:w="140" w:type="dxa"/>
              <w:left w:w="160" w:type="dxa"/>
              <w:right w:w="160" w:type="dxa"/>
            </w:tcMar>
          </w:tcPr>
          <w:p>
            <w:r>
              <w:rPr>
                <w:rFonts w:ascii="Segoe UI" w:hAnsi="Segoe UI"/>
                <w:color w:val="32373C"/>
                <w:sz w:val="19"/>
              </w:rPr>
              <w:t>Section A: Meta Analytics Header</w:t>
            </w:r>
          </w:p>
        </w:tc>
        <w:tc>
          <w:tcPr>
            <w:tcW w:type="dxa" w:w="4680"/>
            <w:tcMar>
              <w:top w:w="140" w:type="dxa"/>
              <w:bottom w:w="140" w:type="dxa"/>
              <w:left w:w="160" w:type="dxa"/>
              <w:right w:w="160" w:type="dxa"/>
            </w:tcMar>
          </w:tcPr>
          <w:p>
            <w:r>
              <w:rPr>
                <w:rFonts w:ascii="Segoe UI" w:hAnsi="Segoe UI"/>
                <w:color w:val="32373C"/>
                <w:sz w:val="19"/>
              </w:rPr>
              <w:t>Displays full Project Nomenclature, active development timeline metrics, operational domain flags (e.g., Computer Vision, ROS2, Kinematics), and repository direct-links.</w:t>
            </w:r>
          </w:p>
        </w:tc>
      </w:tr>
      <w:tr>
        <w:tc>
          <w:tcPr>
            <w:tcW w:type="dxa" w:w="4680"/>
            <w:tcMar>
              <w:top w:w="140" w:type="dxa"/>
              <w:bottom w:w="140" w:type="dxa"/>
              <w:left w:w="160" w:type="dxa"/>
              <w:right w:w="160" w:type="dxa"/>
            </w:tcMar>
            <w:shd w:fill="F5F7F8"/>
          </w:tcPr>
          <w:p>
            <w:r>
              <w:rPr>
                <w:rFonts w:ascii="Segoe UI" w:hAnsi="Segoe UI"/>
                <w:color w:val="32373C"/>
                <w:sz w:val="19"/>
              </w:rPr>
              <w:t>Section B: Core Technical Problem</w:t>
            </w:r>
          </w:p>
        </w:tc>
        <w:tc>
          <w:tcPr>
            <w:tcW w:type="dxa" w:w="4680"/>
            <w:tcMar>
              <w:top w:w="140" w:type="dxa"/>
              <w:bottom w:w="140" w:type="dxa"/>
              <w:left w:w="160" w:type="dxa"/>
              <w:right w:w="160" w:type="dxa"/>
            </w:tcMar>
            <w:shd w:fill="F5F7F8"/>
          </w:tcPr>
          <w:p>
            <w:r>
              <w:rPr>
                <w:rFonts w:ascii="Segoe UI" w:hAnsi="Segoe UI"/>
                <w:color w:val="32373C"/>
                <w:sz w:val="19"/>
              </w:rPr>
              <w:t>A clear explanation detailing operational friction, physical constraints, environmental payloads, and structural requirements the project targets.</w:t>
            </w:r>
          </w:p>
        </w:tc>
      </w:tr>
      <w:tr>
        <w:tc>
          <w:tcPr>
            <w:tcW w:type="dxa" w:w="4680"/>
            <w:tcMar>
              <w:top w:w="140" w:type="dxa"/>
              <w:bottom w:w="140" w:type="dxa"/>
              <w:left w:w="160" w:type="dxa"/>
              <w:right w:w="160" w:type="dxa"/>
            </w:tcMar>
          </w:tcPr>
          <w:p>
            <w:r>
              <w:rPr>
                <w:rFonts w:ascii="Segoe UI" w:hAnsi="Segoe UI"/>
                <w:color w:val="32373C"/>
                <w:sz w:val="19"/>
              </w:rPr>
              <w:t>Section C: Hardware &amp; Software Stack</w:t>
            </w:r>
          </w:p>
        </w:tc>
        <w:tc>
          <w:tcPr>
            <w:tcW w:type="dxa" w:w="4680"/>
            <w:tcMar>
              <w:top w:w="140" w:type="dxa"/>
              <w:bottom w:w="140" w:type="dxa"/>
              <w:left w:w="160" w:type="dxa"/>
              <w:right w:w="160" w:type="dxa"/>
            </w:tcMar>
          </w:tcPr>
          <w:p>
            <w:r>
              <w:rPr>
                <w:rFonts w:ascii="Segoe UI" w:hAnsi="Segoe UI"/>
                <w:color w:val="32373C"/>
                <w:sz w:val="19"/>
              </w:rPr>
              <w:t>An exact matrix identifying microcontrollers (STM32, ESP32), sensor arrays (LiDAR, IMUs, Depth Cameras), RTOS details, and neural network compression approaches.</w:t>
            </w:r>
          </w:p>
        </w:tc>
      </w:tr>
      <w:tr>
        <w:tc>
          <w:tcPr>
            <w:tcW w:type="dxa" w:w="4680"/>
            <w:tcMar>
              <w:top w:w="140" w:type="dxa"/>
              <w:bottom w:w="140" w:type="dxa"/>
              <w:left w:w="160" w:type="dxa"/>
              <w:right w:w="160" w:type="dxa"/>
            </w:tcMar>
            <w:shd w:fill="F5F7F8"/>
          </w:tcPr>
          <w:p>
            <w:r>
              <w:rPr>
                <w:rFonts w:ascii="Segoe UI" w:hAnsi="Segoe UI"/>
                <w:color w:val="32373C"/>
                <w:sz w:val="19"/>
              </w:rPr>
              <w:t>Section D: High-Resolution Media Grid</w:t>
            </w:r>
          </w:p>
        </w:tc>
        <w:tc>
          <w:tcPr>
            <w:tcW w:type="dxa" w:w="4680"/>
            <w:tcMar>
              <w:top w:w="140" w:type="dxa"/>
              <w:bottom w:w="140" w:type="dxa"/>
              <w:left w:w="160" w:type="dxa"/>
              <w:right w:w="160" w:type="dxa"/>
            </w:tcMar>
            <w:shd w:fill="F5F7F8"/>
          </w:tcPr>
          <w:p>
            <w:r>
              <w:rPr>
                <w:rFonts w:ascii="Segoe UI" w:hAnsi="Segoe UI"/>
                <w:color w:val="32373C"/>
                <w:sz w:val="19"/>
              </w:rPr>
              <w:t>A neat layout block containing 1080p hardware breakdown photos, circuit schematic vector files, link-outs to CAD models, and running YouTube integration streams.</w:t>
            </w:r>
          </w:p>
        </w:tc>
      </w:tr>
      <w:tr>
        <w:tc>
          <w:tcPr>
            <w:tcW w:type="dxa" w:w="4680"/>
            <w:tcMar>
              <w:top w:w="140" w:type="dxa"/>
              <w:bottom w:w="140" w:type="dxa"/>
              <w:left w:w="160" w:type="dxa"/>
              <w:right w:w="160" w:type="dxa"/>
            </w:tcMar>
          </w:tcPr>
          <w:p>
            <w:r>
              <w:rPr>
                <w:rFonts w:ascii="Segoe UI" w:hAnsi="Segoe UI"/>
                <w:color w:val="32373C"/>
                <w:sz w:val="19"/>
              </w:rPr>
              <w:t>Section E: Proven Performance Metrics</w:t>
            </w:r>
          </w:p>
        </w:tc>
        <w:tc>
          <w:tcPr>
            <w:tcW w:type="dxa" w:w="4680"/>
            <w:tcMar>
              <w:top w:w="140" w:type="dxa"/>
              <w:bottom w:w="140" w:type="dxa"/>
              <w:left w:w="160" w:type="dxa"/>
              <w:right w:w="160" w:type="dxa"/>
            </w:tcMar>
          </w:tcPr>
          <w:p>
            <w:r>
              <w:rPr>
                <w:rFonts w:ascii="Segoe UI" w:hAnsi="Segoe UI"/>
                <w:color w:val="32373C"/>
                <w:sz w:val="19"/>
              </w:rPr>
              <w:t>Quantifiable real-world logs, localization variance margins, physical speed outputs, battery runtime specs, and edge-inference delay levels.</w:t>
            </w:r>
          </w:p>
        </w:tc>
      </w:tr>
    </w:tbl>
    <w:p>
      <w:pPr>
        <w:keepNext/>
        <w:spacing w:before="480" w:after="120"/>
      </w:pPr>
      <w:r>
        <w:rPr>
          <w:rFonts w:ascii="Segoe UI" w:hAnsi="Segoe UI"/>
          <w:b/>
          <w:color w:val="141E26"/>
          <w:sz w:val="36"/>
        </w:rPr>
        <w:t>4. Page 4: Future Improvements &amp; Vision Section</w:t>
      </w:r>
    </w:p>
    <w:p>
      <w:pPr>
        <w:spacing w:after="160" w:line="276" w:lineRule="auto"/>
      </w:pPr>
      <w:r>
        <w:rPr>
          <w:rFonts w:ascii="Segoe UI" w:hAnsi="Segoe UI"/>
          <w:i w:val="0"/>
          <w:color w:val="32373C"/>
          <w:sz w:val="21"/>
        </w:rPr>
        <w:t>This strategic module communicates our continuous research trajectory to academic and corporate entities. It organizes upcoming milestones into clear timelines.</w:t>
      </w:r>
    </w:p>
    <w:p>
      <w:pPr>
        <w:keepNext/>
        <w:spacing w:before="360" w:after="120"/>
      </w:pPr>
      <w:r>
        <w:rPr>
          <w:rFonts w:ascii="Segoe UI" w:hAnsi="Segoe UI"/>
          <w:b/>
          <w:color w:val="008C9B"/>
          <w:sz w:val="26"/>
        </w:rPr>
        <w:t>Strategic Technical Roadmap Framework</w:t>
      </w:r>
    </w:p>
    <w:p>
      <w:pPr>
        <w:pStyle w:val="ListBullet"/>
        <w:spacing w:after="80" w:line="276" w:lineRule="auto"/>
      </w:pPr>
      <w:r>
        <w:rPr>
          <w:rFonts w:ascii="Segoe UI" w:hAnsi="Segoe UI"/>
          <w:b/>
          <w:color w:val="141E26"/>
          <w:sz w:val="21"/>
        </w:rPr>
        <w:t xml:space="preserve">• Short-Term Horizons (0-6 Months): Enhanced Lab Infrastructure — </w:t>
      </w:r>
      <w:r>
        <w:rPr>
          <w:rFonts w:ascii="Segoe UI" w:hAnsi="Segoe UI"/>
          <w:i w:val="0"/>
          <w:color w:val="32373C"/>
          <w:sz w:val="21"/>
        </w:rPr>
        <w:t xml:space="preserve"> Upgrading physical lab resources by acquiring state-of-the-art edge-AI accelerators, installing advanced high-precision telemetry evaluation gear, and defining isolated software simulation sandboxes for multi-agent validation loops.</w:t>
      </w:r>
    </w:p>
    <w:p>
      <w:pPr>
        <w:pStyle w:val="ListBullet"/>
        <w:spacing w:after="80" w:line="276" w:lineRule="auto"/>
      </w:pPr>
      <w:r>
        <w:rPr>
          <w:rFonts w:ascii="Segoe UI" w:hAnsi="Segoe UI"/>
          <w:b/>
          <w:color w:val="141E26"/>
          <w:sz w:val="21"/>
        </w:rPr>
        <w:t xml:space="preserve">• Medium-Term Horizons (6-18 Months): Advanced Interoperability — </w:t>
      </w:r>
      <w:r>
        <w:rPr>
          <w:rFonts w:ascii="Segoe UI" w:hAnsi="Segoe UI"/>
          <w:i w:val="0"/>
          <w:color w:val="32373C"/>
          <w:sz w:val="21"/>
        </w:rPr>
        <w:t xml:space="preserve"> Deploying standardized ROS2 swarming setups across existing mechanical systems, optimizing SLAM algorithms to operate under constrained bandwidth, and deploying accelerated deep hardware optimization layers.</w:t>
      </w:r>
    </w:p>
    <w:p>
      <w:pPr>
        <w:pStyle w:val="ListBullet"/>
        <w:spacing w:after="240" w:line="276" w:lineRule="auto"/>
      </w:pPr>
      <w:r>
        <w:rPr>
          <w:rFonts w:ascii="Segoe UI" w:hAnsi="Segoe UI"/>
          <w:b/>
          <w:color w:val="141E26"/>
          <w:sz w:val="21"/>
        </w:rPr>
        <w:t xml:space="preserve">• Long-Term Horizons (18+ Months): Social Impact Solutions — </w:t>
      </w:r>
      <w:r>
        <w:rPr>
          <w:rFonts w:ascii="Segoe UI" w:hAnsi="Segoe UI"/>
          <w:i w:val="0"/>
          <w:color w:val="32373C"/>
          <w:sz w:val="21"/>
        </w:rPr>
        <w:t xml:space="preserve"> Evolving student projects into industrial-grade field units. This includes building open-source medical support platforms and developing GeoAI technology to assist with natural disaster management.</w:t>
      </w:r>
    </w:p>
    <w:p>
      <w:pPr>
        <w:keepNext/>
        <w:spacing w:before="480" w:after="120"/>
      </w:pPr>
      <w:r>
        <w:rPr>
          <w:rFonts w:ascii="Segoe UI" w:hAnsi="Segoe UI"/>
          <w:b/>
          <w:color w:val="141E26"/>
          <w:sz w:val="36"/>
        </w:rPr>
        <w:t>5. Page 5: Team Members Directory</w:t>
      </w:r>
    </w:p>
    <w:p>
      <w:pPr>
        <w:spacing w:after="160" w:line="276" w:lineRule="auto"/>
      </w:pPr>
      <w:r>
        <w:rPr>
          <w:rFonts w:ascii="Segoe UI" w:hAnsi="Segoe UI"/>
          <w:i w:val="0"/>
          <w:color w:val="32373C"/>
          <w:sz w:val="21"/>
        </w:rPr>
        <w:t>The directory serves as a transparent listing of technical expertise. It features a responsive layout divided into clean functional groups based on engineering disciplines.</w:t>
      </w:r>
    </w:p>
    <w:p>
      <w:pPr>
        <w:keepNext/>
        <w:spacing w:before="360" w:after="120"/>
      </w:pPr>
      <w:r>
        <w:rPr>
          <w:rFonts w:ascii="Segoe UI" w:hAnsi="Segoe UI"/>
          <w:b/>
          <w:color w:val="008C9B"/>
          <w:sz w:val="26"/>
        </w:rPr>
        <w:t>Organizational Tiers</w:t>
      </w:r>
    </w:p>
    <w:p>
      <w:pPr>
        <w:pStyle w:val="ListBullet"/>
        <w:spacing w:after="40" w:line="276" w:lineRule="auto"/>
      </w:pPr>
      <w:r>
        <w:rPr>
          <w:rFonts w:ascii="Segoe UI" w:hAnsi="Segoe UI"/>
          <w:i w:val="0"/>
          <w:color w:val="32373C"/>
          <w:sz w:val="21"/>
        </w:rPr>
        <w:t xml:space="preserve"> Core Lead Coordinators &amp; Faculty Advisory Panel.</w:t>
      </w:r>
    </w:p>
    <w:p>
      <w:pPr>
        <w:pStyle w:val="ListBullet"/>
        <w:spacing w:after="40" w:line="276" w:lineRule="auto"/>
      </w:pPr>
      <w:r>
        <w:rPr>
          <w:rFonts w:ascii="Segoe UI" w:hAnsi="Segoe UI"/>
          <w:i w:val="0"/>
          <w:color w:val="32373C"/>
          <w:sz w:val="21"/>
        </w:rPr>
        <w:t xml:space="preserve"> Hardware, PCB Layout, and Firmware Engineers.</w:t>
      </w:r>
    </w:p>
    <w:p>
      <w:pPr>
        <w:pStyle w:val="ListBullet"/>
        <w:spacing w:after="40" w:line="276" w:lineRule="auto"/>
      </w:pPr>
      <w:r>
        <w:rPr>
          <w:rFonts w:ascii="Segoe UI" w:hAnsi="Segoe UI"/>
          <w:i w:val="0"/>
          <w:color w:val="32373C"/>
          <w:sz w:val="21"/>
        </w:rPr>
        <w:t xml:space="preserve"> Artificial Intelligence, Computer Vision, and Perception Specialists.</w:t>
      </w:r>
    </w:p>
    <w:p>
      <w:pPr>
        <w:pStyle w:val="ListBullet"/>
        <w:spacing w:after="120" w:line="276" w:lineRule="auto"/>
      </w:pPr>
      <w:r>
        <w:rPr>
          <w:rFonts w:ascii="Segoe UI" w:hAnsi="Segoe UI"/>
          <w:i w:val="0"/>
          <w:color w:val="32373C"/>
          <w:sz w:val="21"/>
        </w:rPr>
        <w:t xml:space="preserve"> UI/UX Frontend Engineers and Asset Designers.</w:t>
      </w:r>
    </w:p>
    <w:p>
      <w:pPr>
        <w:keepNext/>
        <w:spacing w:before="360" w:after="120"/>
      </w:pPr>
      <w:r>
        <w:rPr>
          <w:rFonts w:ascii="Segoe UI" w:hAnsi="Segoe UI"/>
          <w:b/>
          <w:color w:val="141E26"/>
          <w:sz w:val="22"/>
        </w:rPr>
        <w:t>Standard Profile Component Blueprint</w:t>
      </w:r>
    </w:p>
    <w:p>
      <w:pPr>
        <w:pStyle w:val="ListBullet"/>
        <w:spacing w:after="40" w:line="276" w:lineRule="auto"/>
      </w:pPr>
      <w:r>
        <w:rPr>
          <w:rFonts w:ascii="Segoe UI" w:hAnsi="Segoe UI"/>
          <w:b/>
          <w:color w:val="141E26"/>
          <w:sz w:val="21"/>
        </w:rPr>
        <w:t xml:space="preserve">• Profile Photography: </w:t>
      </w:r>
      <w:r>
        <w:rPr>
          <w:rFonts w:ascii="Segoe UI" w:hAnsi="Segoe UI"/>
          <w:i w:val="0"/>
          <w:color w:val="32373C"/>
          <w:sz w:val="21"/>
        </w:rPr>
        <w:t xml:space="preserve"> Clean, high-resolution portrait imagery set against a neutral studio backdrop color.</w:t>
      </w:r>
    </w:p>
    <w:p>
      <w:pPr>
        <w:pStyle w:val="ListBullet"/>
        <w:spacing w:after="40" w:line="276" w:lineRule="auto"/>
      </w:pPr>
      <w:r>
        <w:rPr>
          <w:rFonts w:ascii="Segoe UI" w:hAnsi="Segoe UI"/>
          <w:b/>
          <w:color w:val="141E26"/>
          <w:sz w:val="21"/>
        </w:rPr>
        <w:t xml:space="preserve">• Domain Tagging: </w:t>
      </w:r>
      <w:r>
        <w:rPr>
          <w:rFonts w:ascii="Segoe UI" w:hAnsi="Segoe UI"/>
          <w:i w:val="0"/>
          <w:color w:val="32373C"/>
          <w:sz w:val="21"/>
        </w:rPr>
        <w:t xml:space="preserve"> Precise role assignment text definitions (e.g., Lead AI Strategist, Head of Embedded Architecture).</w:t>
      </w:r>
    </w:p>
    <w:p>
      <w:pPr>
        <w:pStyle w:val="ListBullet"/>
        <w:spacing w:after="40" w:line="276" w:lineRule="auto"/>
      </w:pPr>
      <w:r>
        <w:rPr>
          <w:rFonts w:ascii="Segoe UI" w:hAnsi="Segoe UI"/>
          <w:b/>
          <w:color w:val="141E26"/>
          <w:sz w:val="21"/>
        </w:rPr>
        <w:t xml:space="preserve">• Skill Matrix: </w:t>
      </w:r>
      <w:r>
        <w:rPr>
          <w:rFonts w:ascii="Segoe UI" w:hAnsi="Segoe UI"/>
          <w:i w:val="0"/>
          <w:color w:val="32373C"/>
          <w:sz w:val="21"/>
        </w:rPr>
        <w:t xml:space="preserve"> Specialized skill badges clearly tracking technical areas (e.g., PyTorch, Altium, C++, ROS2).</w:t>
      </w:r>
    </w:p>
    <w:p>
      <w:pPr>
        <w:pStyle w:val="ListBullet"/>
        <w:spacing w:after="240" w:line="276" w:lineRule="auto"/>
      </w:pPr>
      <w:r>
        <w:rPr>
          <w:rFonts w:ascii="Segoe UI" w:hAnsi="Segoe UI"/>
          <w:b/>
          <w:color w:val="141E26"/>
          <w:sz w:val="21"/>
        </w:rPr>
        <w:t xml:space="preserve">• Professional Vector Links: </w:t>
      </w:r>
      <w:r>
        <w:rPr>
          <w:rFonts w:ascii="Segoe UI" w:hAnsi="Segoe UI"/>
          <w:i w:val="0"/>
          <w:color w:val="32373C"/>
          <w:sz w:val="21"/>
        </w:rPr>
        <w:t xml:space="preserve"> Active vector link paths to GitHub repositories, LinkedIn accounts, and individual portfolios.</w:t>
      </w:r>
    </w:p>
    <w:p>
      <w:pPr>
        <w:keepNext/>
        <w:spacing w:before="480" w:after="120"/>
      </w:pPr>
      <w:r>
        <w:rPr>
          <w:rFonts w:ascii="Segoe UI" w:hAnsi="Segoe UI"/>
          <w:b/>
          <w:color w:val="141E26"/>
          <w:sz w:val="36"/>
        </w:rPr>
        <w:t>6. Page 6: Contact Us &amp; Workshop Request Engine</w:t>
      </w:r>
    </w:p>
    <w:p>
      <w:pPr>
        <w:spacing w:after="160" w:line="276" w:lineRule="auto"/>
      </w:pPr>
      <w:r>
        <w:rPr>
          <w:rFonts w:ascii="Segoe UI" w:hAnsi="Segoe UI"/>
          <w:i w:val="0"/>
          <w:color w:val="32373C"/>
          <w:sz w:val="21"/>
        </w:rPr>
        <w:t>The primary intake portal designed to seamlessly manage outward-facing collaborations, external club partnerships, and structured technical workshop requests.</w:t>
      </w:r>
    </w:p>
    <w:p>
      <w:pPr>
        <w:keepNext/>
        <w:spacing w:before="360" w:after="120"/>
      </w:pPr>
      <w:r>
        <w:rPr>
          <w:rFonts w:ascii="Segoe UI" w:hAnsi="Segoe UI"/>
          <w:b/>
          <w:color w:val="008C9B"/>
          <w:sz w:val="26"/>
        </w:rPr>
        <w:t>Form Schema Architecture</w:t>
      </w:r>
    </w:p>
    <w:tbl>
      <w:tblPr>
        <w:tblW w:type="auto" w:w="0"/>
        <w:jc w:val="center"/>
        <w:tblLook w:firstColumn="1" w:firstRow="1" w:lastColumn="0" w:lastRow="0" w:noHBand="0" w:noVBand="1" w:val="04A0"/>
      </w:tblPr>
      <w:tblGrid>
        <w:gridCol w:w="3120"/>
        <w:gridCol w:w="3120"/>
        <w:gridCol w:w="3120"/>
      </w:tblGrid>
      <w:tr>
        <w:tc>
          <w:tcPr>
            <w:tcW w:type="dxa" w:w="3120"/>
            <w:shd w:fill="141E26"/>
            <w:tcMar>
              <w:top w:w="140" w:type="dxa"/>
              <w:bottom w:w="140" w:type="dxa"/>
              <w:left w:w="160" w:type="dxa"/>
              <w:right w:w="160" w:type="dxa"/>
            </w:tcMar>
          </w:tcPr>
          <w:p>
            <w:r>
              <w:rPr>
                <w:rFonts w:ascii="Segoe UI" w:hAnsi="Segoe UI"/>
                <w:b/>
                <w:color w:val="FFFFFF"/>
              </w:rPr>
              <w:t>Field Tag</w:t>
            </w:r>
          </w:p>
        </w:tc>
        <w:tc>
          <w:tcPr>
            <w:tcW w:type="dxa" w:w="3120"/>
            <w:shd w:fill="141E26"/>
            <w:tcMar>
              <w:top w:w="140" w:type="dxa"/>
              <w:bottom w:w="140" w:type="dxa"/>
              <w:left w:w="160" w:type="dxa"/>
              <w:right w:w="160" w:type="dxa"/>
            </w:tcMar>
          </w:tcPr>
          <w:p>
            <w:r>
              <w:rPr>
                <w:rFonts w:ascii="Segoe UI" w:hAnsi="Segoe UI"/>
                <w:b/>
                <w:color w:val="FFFFFF"/>
              </w:rPr>
              <w:t>UI Input Type</w:t>
            </w:r>
          </w:p>
        </w:tc>
        <w:tc>
          <w:tcPr>
            <w:tcW w:type="dxa" w:w="3120"/>
            <w:shd w:fill="141E26"/>
            <w:tcMar>
              <w:top w:w="140" w:type="dxa"/>
              <w:bottom w:w="140" w:type="dxa"/>
              <w:left w:w="160" w:type="dxa"/>
              <w:right w:w="160" w:type="dxa"/>
            </w:tcMar>
          </w:tcPr>
          <w:p>
            <w:r>
              <w:rPr>
                <w:rFonts w:ascii="Segoe UI" w:hAnsi="Segoe UI"/>
                <w:b/>
                <w:color w:val="FFFFFF"/>
              </w:rPr>
              <w:t>Validation / Backend Requirements</w:t>
            </w:r>
          </w:p>
        </w:tc>
      </w:tr>
      <w:tr>
        <w:tc>
          <w:tcPr>
            <w:tcW w:type="dxa" w:w="3120"/>
            <w:tcMar>
              <w:top w:w="140" w:type="dxa"/>
              <w:bottom w:w="140" w:type="dxa"/>
              <w:left w:w="160" w:type="dxa"/>
              <w:right w:w="160" w:type="dxa"/>
            </w:tcMar>
          </w:tcPr>
          <w:p>
            <w:r>
              <w:rPr>
                <w:rFonts w:ascii="Segoe UI" w:hAnsi="Segoe UI"/>
                <w:color w:val="32373C"/>
                <w:sz w:val="19"/>
              </w:rPr>
              <w:t>Entity/Name</w:t>
            </w:r>
          </w:p>
        </w:tc>
        <w:tc>
          <w:tcPr>
            <w:tcW w:type="dxa" w:w="3120"/>
            <w:tcMar>
              <w:top w:w="140" w:type="dxa"/>
              <w:bottom w:w="140" w:type="dxa"/>
              <w:left w:w="160" w:type="dxa"/>
              <w:right w:w="160" w:type="dxa"/>
            </w:tcMar>
          </w:tcPr>
          <w:p>
            <w:r>
              <w:rPr>
                <w:rFonts w:ascii="Segoe UI" w:hAnsi="Segoe UI"/>
                <w:color w:val="32373C"/>
                <w:sz w:val="19"/>
              </w:rPr>
              <w:t>Single-line Text Input</w:t>
            </w:r>
          </w:p>
        </w:tc>
        <w:tc>
          <w:tcPr>
            <w:tcW w:type="dxa" w:w="3120"/>
            <w:tcMar>
              <w:top w:w="140" w:type="dxa"/>
              <w:bottom w:w="140" w:type="dxa"/>
              <w:left w:w="160" w:type="dxa"/>
              <w:right w:w="160" w:type="dxa"/>
            </w:tcMar>
          </w:tcPr>
          <w:p>
            <w:r>
              <w:rPr>
                <w:rFonts w:ascii="Segoe UI" w:hAnsi="Segoe UI"/>
                <w:color w:val="32373C"/>
                <w:sz w:val="19"/>
              </w:rPr>
              <w:t>Required field; sanitizes strings to prevent code-injection attacks.</w:t>
            </w:r>
          </w:p>
        </w:tc>
      </w:tr>
      <w:tr>
        <w:tc>
          <w:tcPr>
            <w:tcW w:type="dxa" w:w="3120"/>
            <w:tcMar>
              <w:top w:w="140" w:type="dxa"/>
              <w:bottom w:w="140" w:type="dxa"/>
              <w:left w:w="160" w:type="dxa"/>
              <w:right w:w="160" w:type="dxa"/>
            </w:tcMar>
            <w:shd w:fill="F5F7F8"/>
          </w:tcPr>
          <w:p>
            <w:r>
              <w:rPr>
                <w:rFonts w:ascii="Segoe UI" w:hAnsi="Segoe UI"/>
                <w:color w:val="32373C"/>
                <w:sz w:val="19"/>
              </w:rPr>
              <w:t>Contact Email</w:t>
            </w:r>
          </w:p>
        </w:tc>
        <w:tc>
          <w:tcPr>
            <w:tcW w:type="dxa" w:w="3120"/>
            <w:tcMar>
              <w:top w:w="140" w:type="dxa"/>
              <w:bottom w:w="140" w:type="dxa"/>
              <w:left w:w="160" w:type="dxa"/>
              <w:right w:w="160" w:type="dxa"/>
            </w:tcMar>
            <w:shd w:fill="F5F7F8"/>
          </w:tcPr>
          <w:p>
            <w:r>
              <w:rPr>
                <w:rFonts w:ascii="Segoe UI" w:hAnsi="Segoe UI"/>
                <w:color w:val="32373C"/>
                <w:sz w:val="19"/>
              </w:rPr>
              <w:t>Email Standard Box</w:t>
            </w:r>
          </w:p>
        </w:tc>
        <w:tc>
          <w:tcPr>
            <w:tcW w:type="dxa" w:w="3120"/>
            <w:tcMar>
              <w:top w:w="140" w:type="dxa"/>
              <w:bottom w:w="140" w:type="dxa"/>
              <w:left w:w="160" w:type="dxa"/>
              <w:right w:w="160" w:type="dxa"/>
            </w:tcMar>
            <w:shd w:fill="F5F7F8"/>
          </w:tcPr>
          <w:p>
            <w:r>
              <w:rPr>
                <w:rFonts w:ascii="Segoe UI" w:hAnsi="Segoe UI"/>
                <w:color w:val="32373C"/>
                <w:sz w:val="19"/>
              </w:rPr>
              <w:t>Required field; checks against RFC criteria for valid email structures.</w:t>
            </w:r>
          </w:p>
        </w:tc>
      </w:tr>
      <w:tr>
        <w:tc>
          <w:tcPr>
            <w:tcW w:type="dxa" w:w="3120"/>
            <w:tcMar>
              <w:top w:w="140" w:type="dxa"/>
              <w:bottom w:w="140" w:type="dxa"/>
              <w:left w:w="160" w:type="dxa"/>
              <w:right w:w="160" w:type="dxa"/>
            </w:tcMar>
          </w:tcPr>
          <w:p>
            <w:r>
              <w:rPr>
                <w:rFonts w:ascii="Segoe UI" w:hAnsi="Segoe UI"/>
                <w:color w:val="32373C"/>
                <w:sz w:val="19"/>
              </w:rPr>
              <w:t>Inquiry Category</w:t>
            </w:r>
          </w:p>
        </w:tc>
        <w:tc>
          <w:tcPr>
            <w:tcW w:type="dxa" w:w="3120"/>
            <w:tcMar>
              <w:top w:w="140" w:type="dxa"/>
              <w:bottom w:w="140" w:type="dxa"/>
              <w:left w:w="160" w:type="dxa"/>
              <w:right w:w="160" w:type="dxa"/>
            </w:tcMar>
          </w:tcPr>
          <w:p>
            <w:r>
              <w:rPr>
                <w:rFonts w:ascii="Segoe UI" w:hAnsi="Segoe UI"/>
                <w:color w:val="32373C"/>
                <w:sz w:val="19"/>
              </w:rPr>
              <w:t>Interactive Dropdown Selection</w:t>
            </w:r>
          </w:p>
        </w:tc>
        <w:tc>
          <w:tcPr>
            <w:tcW w:type="dxa" w:w="3120"/>
            <w:tcMar>
              <w:top w:w="140" w:type="dxa"/>
              <w:bottom w:w="140" w:type="dxa"/>
              <w:left w:w="160" w:type="dxa"/>
              <w:right w:w="160" w:type="dxa"/>
            </w:tcMar>
          </w:tcPr>
          <w:p>
            <w:r>
              <w:rPr>
                <w:rFonts w:ascii="Segoe UI" w:hAnsi="Segoe UI"/>
                <w:color w:val="32373C"/>
                <w:sz w:val="19"/>
              </w:rPr>
              <w:t>Options: [Workshop Request, Project Collaboration, Media Brief, General Contact]</w:t>
            </w:r>
          </w:p>
        </w:tc>
      </w:tr>
      <w:tr>
        <w:tc>
          <w:tcPr>
            <w:tcW w:type="dxa" w:w="3120"/>
            <w:tcMar>
              <w:top w:w="140" w:type="dxa"/>
              <w:bottom w:w="140" w:type="dxa"/>
              <w:left w:w="160" w:type="dxa"/>
              <w:right w:w="160" w:type="dxa"/>
            </w:tcMar>
            <w:shd w:fill="F5F7F8"/>
          </w:tcPr>
          <w:p>
            <w:r>
              <w:rPr>
                <w:rFonts w:ascii="Segoe UI" w:hAnsi="Segoe UI"/>
                <w:color w:val="32373C"/>
                <w:sz w:val="19"/>
              </w:rPr>
              <w:t>Target Date Window</w:t>
            </w:r>
          </w:p>
        </w:tc>
        <w:tc>
          <w:tcPr>
            <w:tcW w:type="dxa" w:w="3120"/>
            <w:tcMar>
              <w:top w:w="140" w:type="dxa"/>
              <w:bottom w:w="140" w:type="dxa"/>
              <w:left w:w="160" w:type="dxa"/>
              <w:right w:w="160" w:type="dxa"/>
            </w:tcMar>
            <w:shd w:fill="F5F7F8"/>
          </w:tcPr>
          <w:p>
            <w:r>
              <w:rPr>
                <w:rFonts w:ascii="Segoe UI" w:hAnsi="Segoe UI"/>
                <w:color w:val="32373C"/>
                <w:sz w:val="19"/>
              </w:rPr>
              <w:t>Dynamic Calendar Picker</w:t>
            </w:r>
          </w:p>
        </w:tc>
        <w:tc>
          <w:tcPr>
            <w:tcW w:type="dxa" w:w="3120"/>
            <w:tcMar>
              <w:top w:w="140" w:type="dxa"/>
              <w:bottom w:w="140" w:type="dxa"/>
              <w:left w:w="160" w:type="dxa"/>
              <w:right w:w="160" w:type="dxa"/>
            </w:tcMar>
            <w:shd w:fill="F5F7F8"/>
          </w:tcPr>
          <w:p>
            <w:r>
              <w:rPr>
                <w:rFonts w:ascii="Segoe UI" w:hAnsi="Segoe UI"/>
                <w:color w:val="32373C"/>
                <w:sz w:val="19"/>
              </w:rPr>
              <w:t>Optional entry; blocks out past dates to maintain accurate scheduling inputs.</w:t>
            </w:r>
          </w:p>
        </w:tc>
      </w:tr>
      <w:tr>
        <w:tc>
          <w:tcPr>
            <w:tcW w:type="dxa" w:w="3120"/>
            <w:tcMar>
              <w:top w:w="140" w:type="dxa"/>
              <w:bottom w:w="140" w:type="dxa"/>
              <w:left w:w="160" w:type="dxa"/>
              <w:right w:w="160" w:type="dxa"/>
            </w:tcMar>
          </w:tcPr>
          <w:p>
            <w:r>
              <w:rPr>
                <w:rFonts w:ascii="Segoe UI" w:hAnsi="Segoe UI"/>
                <w:color w:val="32373C"/>
                <w:sz w:val="19"/>
              </w:rPr>
              <w:t>Project Briefing</w:t>
            </w:r>
          </w:p>
        </w:tc>
        <w:tc>
          <w:tcPr>
            <w:tcW w:type="dxa" w:w="3120"/>
            <w:tcMar>
              <w:top w:w="140" w:type="dxa"/>
              <w:bottom w:w="140" w:type="dxa"/>
              <w:left w:w="160" w:type="dxa"/>
              <w:right w:w="160" w:type="dxa"/>
            </w:tcMar>
          </w:tcPr>
          <w:p>
            <w:r>
              <w:rPr>
                <w:rFonts w:ascii="Segoe UI" w:hAnsi="Segoe UI"/>
                <w:color w:val="32373C"/>
                <w:sz w:val="19"/>
              </w:rPr>
              <w:t>Multi-line Expanded Text Area</w:t>
            </w:r>
          </w:p>
        </w:tc>
        <w:tc>
          <w:tcPr>
            <w:tcW w:type="dxa" w:w="3120"/>
            <w:tcMar>
              <w:top w:w="140" w:type="dxa"/>
              <w:bottom w:w="140" w:type="dxa"/>
              <w:left w:w="160" w:type="dxa"/>
              <w:right w:w="160" w:type="dxa"/>
            </w:tcMar>
          </w:tcPr>
          <w:p>
            <w:r>
              <w:rPr>
                <w:rFonts w:ascii="Segoe UI" w:hAnsi="Segoe UI"/>
                <w:color w:val="32373C"/>
                <w:sz w:val="19"/>
              </w:rPr>
              <w:t>Required field; enforces a 1500-character cap limit boundary.</w:t>
            </w:r>
          </w:p>
        </w:tc>
      </w:tr>
      <w:tr>
        <w:tc>
          <w:tcPr>
            <w:tcW w:type="dxa" w:w="3120"/>
            <w:tcMar>
              <w:top w:w="140" w:type="dxa"/>
              <w:bottom w:w="140" w:type="dxa"/>
              <w:left w:w="160" w:type="dxa"/>
              <w:right w:w="160" w:type="dxa"/>
            </w:tcMar>
            <w:shd w:fill="F5F7F8"/>
          </w:tcPr>
          <w:p>
            <w:r>
              <w:rPr>
                <w:rFonts w:ascii="Segoe UI" w:hAnsi="Segoe UI"/>
                <w:color w:val="32373C"/>
                <w:sz w:val="19"/>
              </w:rPr>
              <w:t>Documentation Drag Area</w:t>
            </w:r>
          </w:p>
        </w:tc>
        <w:tc>
          <w:tcPr>
            <w:tcW w:type="dxa" w:w="3120"/>
            <w:tcMar>
              <w:top w:w="140" w:type="dxa"/>
              <w:bottom w:w="140" w:type="dxa"/>
              <w:left w:w="160" w:type="dxa"/>
              <w:right w:w="160" w:type="dxa"/>
            </w:tcMar>
            <w:shd w:fill="F5F7F8"/>
          </w:tcPr>
          <w:p>
            <w:r>
              <w:rPr>
                <w:rFonts w:ascii="Segoe UI" w:hAnsi="Segoe UI"/>
                <w:color w:val="32373C"/>
                <w:sz w:val="19"/>
              </w:rPr>
              <w:t>File Drop Zone Panel</w:t>
            </w:r>
          </w:p>
        </w:tc>
        <w:tc>
          <w:tcPr>
            <w:tcW w:type="dxa" w:w="3120"/>
            <w:tcMar>
              <w:top w:w="140" w:type="dxa"/>
              <w:bottom w:w="140" w:type="dxa"/>
              <w:left w:w="160" w:type="dxa"/>
              <w:right w:w="160" w:type="dxa"/>
            </w:tcMar>
            <w:shd w:fill="F5F7F8"/>
          </w:tcPr>
          <w:p>
            <w:r>
              <w:rPr>
                <w:rFonts w:ascii="Segoe UI" w:hAnsi="Segoe UI"/>
                <w:color w:val="32373C"/>
                <w:sz w:val="19"/>
              </w:rPr>
              <w:t>Optional field; restricted exclusively to .pdf, .docx, or .zip formats under 10MB.</w:t>
            </w:r>
          </w:p>
        </w:tc>
      </w:tr>
    </w:tbl>
    <w:p>
      <w:pPr>
        <w:keepNext/>
        <w:spacing w:before="360" w:after="120"/>
      </w:pPr>
      <w:r>
        <w:rPr>
          <w:rFonts w:ascii="Segoe UI" w:hAnsi="Segoe UI"/>
          <w:b/>
          <w:color w:val="141E26"/>
          <w:sz w:val="22"/>
        </w:rPr>
        <w:t>Backend Processing &amp; Technical Security</w:t>
      </w:r>
    </w:p>
    <w:p>
      <w:pPr>
        <w:pStyle w:val="ListBullet"/>
        <w:spacing w:after="80" w:line="276" w:lineRule="auto"/>
      </w:pPr>
      <w:r>
        <w:rPr>
          <w:rFonts w:ascii="Segoe UI" w:hAnsi="Segoe UI"/>
          <w:b/>
          <w:color w:val="141E26"/>
          <w:sz w:val="21"/>
        </w:rPr>
        <w:t xml:space="preserve">• Intelligent Message Routing: </w:t>
      </w:r>
      <w:r>
        <w:rPr>
          <w:rFonts w:ascii="Segoe UI" w:hAnsi="Segoe UI"/>
          <w:i w:val="0"/>
          <w:color w:val="32373C"/>
          <w:sz w:val="21"/>
        </w:rPr>
        <w:t xml:space="preserve"> Instantly routes incoming workshop briefs directly to the Lead Coordinators' official communication lines upon system verification.</w:t>
      </w:r>
    </w:p>
    <w:p>
      <w:pPr>
        <w:pStyle w:val="ListBullet"/>
        <w:spacing w:after="240" w:line="276" w:lineRule="auto"/>
      </w:pPr>
      <w:r>
        <w:rPr>
          <w:rFonts w:ascii="Segoe UI" w:hAnsi="Segoe UI"/>
          <w:b/>
          <w:color w:val="141E26"/>
          <w:sz w:val="21"/>
        </w:rPr>
        <w:t xml:space="preserve">• Security Verification: </w:t>
      </w:r>
      <w:r>
        <w:rPr>
          <w:rFonts w:ascii="Segoe UI" w:hAnsi="Segoe UI"/>
          <w:i w:val="0"/>
          <w:color w:val="32373C"/>
          <w:sz w:val="21"/>
        </w:rPr>
        <w:t xml:space="preserve"> Utilizes robust spam mitigation systems (Google reCAPTCHA v3 or Cloudflare Turnstile) coupled with comprehensive database encryption protocols.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