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sz w:val="28"/>
        </w:rPr>
        <w:t>TO WHOM IT MAY CONCERN</w:t>
      </w:r>
    </w:p>
    <w:p>
      <w:pPr>
        <w:spacing w:after="240" w:line="276" w:lineRule="auto"/>
        <w:jc w:val="both"/>
      </w:pPr>
      <w:r>
        <w:rPr>
          <w:rFonts w:ascii="Arial" w:hAnsi="Arial"/>
          <w:sz w:val="22"/>
        </w:rPr>
        <w:t>1. This is to certify that the members of Team Robonix are bona fide students of Zakir Husain College of Engineering and Technology, AMU.</w:t>
      </w:r>
    </w:p>
    <w:p>
      <w:pPr>
        <w:spacing w:after="240" w:line="276" w:lineRule="auto"/>
        <w:jc w:val="both"/>
      </w:pPr>
      <w:r>
        <w:rPr>
          <w:rFonts w:ascii="Arial" w:hAnsi="Arial"/>
          <w:sz w:val="22"/>
        </w:rPr>
        <w:t>2. They are associated with a student-led educational outreach initiative under their team Robonix, coordinated by Nigam Chaudhary and Himanshu, with the objective of promoting awareness and interest in Robotics, Electronics, Programming, Artificial Intelligence, Innovation, and Emerging Technologies among students across various educational institutions through educational workshops, demonstrations, interactive sessions, and hands-on learning activities.</w:t>
      </w:r>
    </w:p>
    <w:p>
      <w:pPr>
        <w:spacing w:after="240" w:line="276" w:lineRule="auto"/>
        <w:jc w:val="both"/>
      </w:pPr>
      <w:r>
        <w:rPr>
          <w:rFonts w:ascii="Arial" w:hAnsi="Arial"/>
          <w:sz w:val="22"/>
        </w:rPr>
        <w:t>3. The Department has no objection to these students conducting such educational outreach activities in schools and other educational institutions, subject to the rules and regulations of the respective host institution.</w:t>
      </w:r>
    </w:p>
    <w:p>
      <w:pPr>
        <w:spacing w:after="240" w:line="276" w:lineRule="auto"/>
        <w:jc w:val="both"/>
      </w:pPr>
      <w:r>
        <w:rPr>
          <w:rFonts w:ascii="Arial" w:hAnsi="Arial"/>
          <w:sz w:val="22"/>
        </w:rPr>
        <w:t>4. This letter does not constitute any financial, legal, or administrative liability. The outreach activities shall be conducted independently by the student team while complying with the policies of the host institution.</w:t>
      </w:r>
    </w:p>
    <w:p>
      <w:pPr>
        <w:spacing w:after="240" w:line="276" w:lineRule="auto"/>
        <w:jc w:val="both"/>
      </w:pPr>
      <w:r>
        <w:rPr>
          <w:rFonts w:ascii="Arial" w:hAnsi="Arial"/>
          <w:sz w:val="22"/>
        </w:rPr>
        <w:t>5. Schools and organizations may verify the identity of the participating students through their valid Identity Cards.</w:t>
      </w:r>
    </w:p>
    <w:p>
      <w:pPr>
        <w:spacing w:after="240" w:line="276" w:lineRule="auto"/>
        <w:jc w:val="both"/>
      </w:pPr>
      <w:r>
        <w:rPr>
          <w:rFonts w:ascii="Arial" w:hAnsi="Arial"/>
          <w:sz w:val="22"/>
        </w:rPr>
        <w:t>6. We appreciate and encourage initiatives that promote scientific temperament, innovation, creativity, and technical education among young learners.</w:t>
      </w:r>
    </w:p>
    <w:p>
      <w:pPr>
        <w:spacing w:after="120"/>
      </w:pPr>
    </w:p>
    <w:p>
      <w:pPr>
        <w:spacing w:after="120"/>
      </w:pPr>
      <w:r>
        <w:rPr>
          <w:rFonts w:ascii="Arial" w:hAnsi="Arial"/>
          <w:b/>
          <w:sz w:val="22"/>
        </w:rPr>
        <w:t xml:space="preserve">Team Name: </w:t>
      </w:r>
      <w:r>
        <w:rPr>
          <w:rFonts w:ascii="Arial" w:hAnsi="Arial"/>
          <w:sz w:val="22"/>
        </w:rPr>
        <w:t>Robonix</w:t>
      </w:r>
    </w:p>
    <w:p>
      <w:pPr>
        <w:spacing w:after="80"/>
      </w:pPr>
      <w:r>
        <w:rPr>
          <w:rFonts w:ascii="Arial" w:hAnsi="Arial"/>
          <w:b/>
          <w:sz w:val="22"/>
        </w:rPr>
        <w:t>Team Coordinators:</w:t>
      </w:r>
    </w:p>
    <w:p>
      <w:pPr>
        <w:spacing w:after="80"/>
      </w:pPr>
      <w:r>
        <w:rPr>
          <w:rFonts w:ascii="Arial" w:hAnsi="Arial"/>
          <w:sz w:val="22"/>
        </w:rPr>
        <w:t>1. Nigam Chaudhary (Enrolment No. GR1130)</w:t>
      </w:r>
    </w:p>
    <w:p>
      <w:pPr>
        <w:spacing w:after="80"/>
      </w:pPr>
      <w:r>
        <w:rPr>
          <w:rFonts w:ascii="Arial" w:hAnsi="Arial"/>
          <w:sz w:val="22"/>
        </w:rPr>
        <w:t>2. Himanshu (Enrolment No. GQ9697)</w:t>
      </w:r>
    </w:p>
    <w:p>
      <w:pPr>
        <w:spacing w:after="80"/>
      </w:pPr>
      <w:r>
        <w:rPr>
          <w:rFonts w:ascii="Arial" w:hAnsi="Arial"/>
          <w:b/>
          <w:sz w:val="22"/>
        </w:rPr>
        <w:t>Team Members:</w:t>
      </w:r>
    </w:p>
    <w:p>
      <w:pPr>
        <w:spacing w:after="80"/>
      </w:pPr>
      <w:r>
        <w:rPr>
          <w:rFonts w:ascii="Arial" w:hAnsi="Arial"/>
          <w:sz w:val="22"/>
        </w:rPr>
        <w:t>1. Harshit Gaur (Enrolment No. GN7864)</w:t>
      </w:r>
    </w:p>
    <w:p>
      <w:pPr>
        <w:spacing w:after="80"/>
      </w:pPr>
      <w:r>
        <w:rPr>
          <w:rFonts w:ascii="Arial" w:hAnsi="Arial"/>
          <w:sz w:val="22"/>
        </w:rPr>
        <w:t>2. Mayank Saini (Enrolment No. GQ9538)</w:t>
      </w:r>
    </w:p>
    <w:p>
      <w:pPr>
        <w:spacing w:after="80"/>
      </w:pPr>
      <w:r>
        <w:rPr>
          <w:rFonts w:ascii="Arial" w:hAnsi="Arial"/>
          <w:sz w:val="22"/>
        </w:rPr>
        <w:t>3. Suryansh Jindal (Enrolment No. GM7906)</w:t>
      </w:r>
    </w:p>
    <w:p>
      <w:pPr>
        <w:spacing w:after="80"/>
      </w:pPr>
      <w:r>
        <w:rPr>
          <w:rFonts w:ascii="Arial" w:hAnsi="Arial"/>
          <w:sz w:val="22"/>
        </w:rPr>
        <w:t>4. Rishabh Chaudhary (Enrolment No. GQ9411)</w:t>
      </w:r>
    </w:p>
    <w:p>
      <w:pPr>
        <w:spacing w:after="80"/>
      </w:pPr>
      <w:r>
        <w:rPr>
          <w:rFonts w:ascii="Arial" w:hAnsi="Arial"/>
          <w:sz w:val="22"/>
        </w:rPr>
        <w:t>5. Aditya Raghav (Enrolment No. GQ9599)</w:t>
      </w:r>
    </w:p>
    <w:p>
      <w:pPr>
        <w:spacing w:after="360"/>
      </w:pPr>
    </w:p>
    <w:p>
      <w:pPr>
        <w:spacing w:after="480"/>
      </w:pPr>
      <w:r>
        <w:rPr>
          <w:rFonts w:ascii="Arial" w:hAnsi="Arial"/>
          <w:sz w:val="22"/>
        </w:rPr>
        <w:t>Department: ___________________</w:t>
        <w:br/>
        <w:t>Date: ___________________</w:t>
        <w:br/>
        <w:t>Place: ___________________</w:t>
      </w:r>
    </w:p>
    <w:p>
      <w:pPr>
        <w:jc w:val="right"/>
      </w:pPr>
      <w:r>
        <w:rPr>
          <w:rFonts w:ascii="Arial" w:hAnsi="Arial"/>
          <w:b/>
          <w:sz w:val="22"/>
        </w:rPr>
        <w:t>Head of the Department / Principal</w:t>
        <w:br/>
        <w:t>(Signature &amp; Official Seal)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