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2E74B5"/>
          <w:sz w:val="22"/>
        </w:rPr>
        <w:t>PRODUCT REQUIREMENTS DOCUMENT</w:t>
      </w:r>
    </w:p>
    <w:p>
      <w:pPr>
        <w:spacing w:after="100"/>
      </w:pPr>
      <w:r>
        <w:rPr>
          <w:rFonts w:ascii="Calibri" w:hAnsi="Calibri"/>
          <w:b/>
          <w:color w:val="182433"/>
          <w:sz w:val="62"/>
        </w:rPr>
        <w:t>RollbackReady</w:t>
      </w:r>
    </w:p>
    <w:p>
      <w:pPr>
        <w:spacing w:after="360"/>
      </w:pPr>
      <w:r>
        <w:rPr>
          <w:rFonts w:ascii="Calibri" w:hAnsi="Calibri"/>
          <w:color w:val="667085"/>
          <w:sz w:val="30"/>
        </w:rPr>
        <w:t>Migration Safety Agent for Prisma</w:t>
      </w:r>
    </w:p>
    <w:p>
      <w:pPr>
        <w:spacing w:before="0" w:after="60"/>
      </w:pPr>
      <w:r>
        <w:rPr>
          <w:rFonts w:ascii="Calibri" w:hAnsi="Calibri"/>
          <w:b/>
          <w:color w:val="182433"/>
          <w:sz w:val="21"/>
        </w:rPr>
        <w:t xml:space="preserve">Version: </w:t>
      </w:r>
      <w:r>
        <w:rPr>
          <w:rFonts w:ascii="Calibri" w:hAnsi="Calibri"/>
          <w:color w:val="182433"/>
          <w:sz w:val="21"/>
        </w:rPr>
        <w:t>1.0</w:t>
      </w:r>
    </w:p>
    <w:p>
      <w:pPr>
        <w:spacing w:before="0" w:after="60"/>
      </w:pPr>
      <w:r>
        <w:t>Status: MVP implemented; release candidate pending merge and deployment approval</w:t>
      </w:r>
    </w:p>
    <w:p>
      <w:pPr>
        <w:spacing w:before="0" w:after="60"/>
      </w:pPr>
      <w:r>
        <w:rPr>
          <w:rFonts w:ascii="Calibri" w:hAnsi="Calibri"/>
          <w:b/>
          <w:color w:val="182433"/>
          <w:sz w:val="21"/>
        </w:rPr>
        <w:t xml:space="preserve">Date: </w:t>
      </w:r>
      <w:r>
        <w:rPr>
          <w:rFonts w:ascii="Calibri" w:hAnsi="Calibri"/>
          <w:color w:val="182433"/>
          <w:sz w:val="21"/>
        </w:rPr>
        <w:t>2026-08-09</w:t>
      </w:r>
    </w:p>
    <w:p>
      <w:pPr>
        <w:spacing w:before="0" w:after="60"/>
      </w:pPr>
      <w:r>
        <w:rPr>
          <w:rFonts w:ascii="Calibri" w:hAnsi="Calibri"/>
          <w:b/>
          <w:color w:val="182433"/>
          <w:sz w:val="21"/>
        </w:rPr>
        <w:t xml:space="preserve">Audience: </w:t>
      </w:r>
      <w:r>
        <w:rPr>
          <w:rFonts w:ascii="Calibri" w:hAnsi="Calibri"/>
          <w:color w:val="182433"/>
          <w:sz w:val="21"/>
        </w:rPr>
        <w:t>Hackathon judges, product reviewers, and implementation team</w:t>
      </w:r>
    </w:p>
    <w:p>
      <w:pPr>
        <w:spacing w:before="0" w:after="60"/>
      </w:pPr>
      <w:r>
        <w:rPr>
          <w:rFonts w:ascii="Calibri" w:hAnsi="Calibri"/>
          <w:b/>
          <w:color w:val="182433"/>
          <w:sz w:val="21"/>
        </w:rPr>
        <w:t xml:space="preserve">Owner: </w:t>
      </w:r>
      <w:r>
        <w:rPr>
          <w:rFonts w:ascii="Calibri" w:hAnsi="Calibri"/>
          <w:color w:val="182433"/>
          <w:sz w:val="21"/>
        </w:rPr>
        <w:t>NYC Round 3 Session 1 Hackathon Team</w:t>
      </w:r>
    </w:p>
    <w:p>
      <w:pPr>
        <w:spacing w:before="0" w:after="60"/>
      </w:pPr>
      <w:r>
        <w:rPr>
          <w:rFonts w:ascii="Calibri" w:hAnsi="Calibri"/>
          <w:b/>
          <w:color w:val="182433"/>
          <w:sz w:val="21"/>
        </w:rPr>
        <w:t xml:space="preserve">MVP horizon: </w:t>
      </w:r>
      <w:r>
        <w:rPr>
          <w:rFonts w:ascii="Calibri" w:hAnsi="Calibri"/>
          <w:color w:val="182433"/>
          <w:sz w:val="21"/>
        </w:rPr>
        <w:t>Evidence-first six-hour solo build</w:t>
      </w:r>
    </w:p>
    <w:p>
      <w:pPr>
        <w:spacing w:after="120"/>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vAlign w:val="center"/>
            <w:tcMar>
              <w:top w:w="80" w:type="dxa"/>
              <w:start w:w="120" w:type="dxa"/>
              <w:bottom w:w="80" w:type="dxa"/>
              <w:end w:w="120" w:type="dxa"/>
            </w:tcMar>
            <w:shd w:fill="EAF2FA"/>
          </w:tcPr>
          <w:p>
            <w:pPr>
              <w:spacing w:before="40" w:after="40" w:line="264" w:lineRule="auto"/>
            </w:pPr>
            <w:r>
              <w:rPr>
                <w:rFonts w:ascii="Calibri" w:hAnsi="Calibri"/>
                <w:b/>
                <w:color w:val="182433"/>
                <w:sz w:val="21"/>
              </w:rPr>
              <w:t>Product promise:</w:t>
            </w:r>
            <w:r>
              <w:rPr>
                <w:rFonts w:ascii="Calibri" w:hAnsi="Calibri"/>
                <w:color w:val="182433"/>
                <w:sz w:val="21"/>
              </w:rPr>
              <w:t xml:space="preserve"> Prisma checks whether a migration can be applied. RollbackReady checks whether representative data, the previous application contract, and the recovery path can survive it.</w:t>
            </w:r>
          </w:p>
        </w:tc>
      </w:tr>
    </w:tbl>
    <w:p>
      <w:pPr>
        <w:spacing w:after="20"/>
      </w:pPr>
    </w:p>
    <w:p>
      <w:pPr>
        <w:spacing w:before="200" w:after="0"/>
      </w:pPr>
      <w:r>
        <w:rPr>
          <w:rFonts w:ascii="Calibri" w:hAnsi="Calibri"/>
          <w:b/>
          <w:color w:val="2E74B5"/>
          <w:sz w:val="18"/>
        </w:rPr>
        <w:t>DECISION</w:t>
      </w:r>
    </w:p>
    <w:p>
      <w:pPr>
        <w:spacing w:after="0"/>
      </w:pPr>
      <w:r>
        <w:rPr>
          <w:rFonts w:ascii="Calibri" w:hAnsi="Calibri"/>
          <w:b/>
          <w:color w:val="1F4D78"/>
          <w:sz w:val="26"/>
        </w:rPr>
        <w:t>Proceed with the evidence-first MVP. Defer authenticated platform breadth to the roadmap.</w:t>
      </w:r>
    </w:p>
    <w:p>
      <w:r>
        <w:br w:type="page"/>
      </w:r>
    </w:p>
    <w:p>
      <w:pPr>
        <w:pStyle w:val="Heading1"/>
        <w:spacing w:before="0"/>
      </w:pPr>
      <w:r>
        <w:t>Contents</w:t>
      </w:r>
    </w:p>
    <w:p>
      <w:pPr>
        <w:spacing w:before="0" w:after="160" w:line="280" w:lineRule="auto"/>
        <w:numPr>
          <w:ilvl w:val="0"/>
          <w:numId w:val="11"/>
        </w:numPr>
      </w:pPr>
      <w:r>
        <w:rPr>
          <w:rFonts w:ascii="Calibri" w:hAnsi="Calibri"/>
          <w:color w:val="182433"/>
          <w:sz w:val="22"/>
        </w:rPr>
        <w:t>Executive summary</w:t>
      </w:r>
    </w:p>
    <w:p>
      <w:pPr>
        <w:spacing w:before="0" w:after="160" w:line="280" w:lineRule="auto"/>
        <w:numPr>
          <w:ilvl w:val="0"/>
          <w:numId w:val="11"/>
        </w:numPr>
      </w:pPr>
      <w:r>
        <w:rPr>
          <w:rFonts w:ascii="Calibri" w:hAnsi="Calibri"/>
          <w:color w:val="182433"/>
          <w:sz w:val="22"/>
        </w:rPr>
        <w:t>Problem and opportunity</w:t>
      </w:r>
    </w:p>
    <w:p>
      <w:pPr>
        <w:spacing w:before="0" w:after="160" w:line="280" w:lineRule="auto"/>
        <w:numPr>
          <w:ilvl w:val="0"/>
          <w:numId w:val="11"/>
        </w:numPr>
      </w:pPr>
      <w:r>
        <w:rPr>
          <w:rFonts w:ascii="Calibri" w:hAnsi="Calibri"/>
          <w:color w:val="182433"/>
          <w:sz w:val="22"/>
        </w:rPr>
        <w:t>Product vision, users, and jobs</w:t>
      </w:r>
    </w:p>
    <w:p>
      <w:pPr>
        <w:spacing w:before="0" w:after="160" w:line="280" w:lineRule="auto"/>
        <w:numPr>
          <w:ilvl w:val="0"/>
          <w:numId w:val="11"/>
        </w:numPr>
      </w:pPr>
      <w:r>
        <w:rPr>
          <w:rFonts w:ascii="Calibri" w:hAnsi="Calibri"/>
          <w:color w:val="182433"/>
          <w:sz w:val="22"/>
        </w:rPr>
        <w:t>Goals, non-goals, and success metrics</w:t>
      </w:r>
    </w:p>
    <w:p>
      <w:pPr>
        <w:spacing w:before="0" w:after="160" w:line="280" w:lineRule="auto"/>
        <w:numPr>
          <w:ilvl w:val="0"/>
          <w:numId w:val="11"/>
        </w:numPr>
      </w:pPr>
      <w:r>
        <w:rPr>
          <w:rFonts w:ascii="Calibri" w:hAnsi="Calibri"/>
          <w:color w:val="182433"/>
          <w:sz w:val="22"/>
        </w:rPr>
        <w:t>Safety language and evidence model</w:t>
      </w:r>
    </w:p>
    <w:p>
      <w:pPr>
        <w:spacing w:before="0" w:after="160" w:line="280" w:lineRule="auto"/>
        <w:numPr>
          <w:ilvl w:val="0"/>
          <w:numId w:val="11"/>
        </w:numPr>
      </w:pPr>
      <w:r>
        <w:rPr>
          <w:rFonts w:ascii="Calibri" w:hAnsi="Calibri"/>
          <w:color w:val="182433"/>
          <w:sz w:val="22"/>
        </w:rPr>
        <w:t>User experience</w:t>
      </w:r>
    </w:p>
    <w:p>
      <w:pPr>
        <w:spacing w:before="0" w:after="160" w:line="280" w:lineRule="auto"/>
        <w:numPr>
          <w:ilvl w:val="0"/>
          <w:numId w:val="11"/>
        </w:numPr>
      </w:pPr>
      <w:r>
        <w:rPr>
          <w:rFonts w:ascii="Calibri" w:hAnsi="Calibri"/>
          <w:color w:val="182433"/>
          <w:sz w:val="22"/>
        </w:rPr>
        <w:t>Input and output contracts</w:t>
      </w:r>
    </w:p>
    <w:p>
      <w:pPr>
        <w:spacing w:before="0" w:after="160" w:line="280" w:lineRule="auto"/>
        <w:numPr>
          <w:ilvl w:val="0"/>
          <w:numId w:val="11"/>
        </w:numPr>
      </w:pPr>
      <w:r>
        <w:rPr>
          <w:rFonts w:ascii="Calibri" w:hAnsi="Calibri"/>
          <w:color w:val="182433"/>
          <w:sz w:val="22"/>
        </w:rPr>
        <w:t>Functional requirements</w:t>
      </w:r>
    </w:p>
    <w:p>
      <w:pPr>
        <w:spacing w:before="0" w:after="160" w:line="280" w:lineRule="auto"/>
        <w:numPr>
          <w:ilvl w:val="0"/>
          <w:numId w:val="11"/>
        </w:numPr>
      </w:pPr>
      <w:r>
        <w:rPr>
          <w:rFonts w:ascii="Calibri" w:hAnsi="Calibri"/>
          <w:color w:val="182433"/>
          <w:sz w:val="22"/>
        </w:rPr>
        <w:t>Deterministic risk engine</w:t>
      </w:r>
    </w:p>
    <w:p>
      <w:pPr>
        <w:spacing w:before="0" w:after="160" w:line="280" w:lineRule="auto"/>
        <w:numPr>
          <w:ilvl w:val="0"/>
          <w:numId w:val="11"/>
        </w:numPr>
      </w:pPr>
      <w:r>
        <w:rPr>
          <w:rFonts w:ascii="Calibri" w:hAnsi="Calibri"/>
          <w:color w:val="182433"/>
          <w:sz w:val="22"/>
        </w:rPr>
        <w:t>Simulation architecture</w:t>
      </w:r>
    </w:p>
    <w:p>
      <w:pPr>
        <w:spacing w:before="0" w:after="160" w:line="280" w:lineRule="auto"/>
        <w:numPr>
          <w:ilvl w:val="0"/>
          <w:numId w:val="11"/>
        </w:numPr>
      </w:pPr>
      <w:r>
        <w:rPr>
          <w:rFonts w:ascii="Calibri" w:hAnsi="Calibri"/>
          <w:color w:val="182433"/>
          <w:sz w:val="22"/>
        </w:rPr>
        <w:t>Gemini planner boundaries</w:t>
      </w:r>
    </w:p>
    <w:p>
      <w:pPr>
        <w:spacing w:before="0" w:after="160" w:line="280" w:lineRule="auto"/>
        <w:numPr>
          <w:ilvl w:val="0"/>
          <w:numId w:val="11"/>
        </w:numPr>
      </w:pPr>
      <w:r>
        <w:rPr>
          <w:rFonts w:ascii="Calibri" w:hAnsi="Calibri"/>
          <w:color w:val="182433"/>
          <w:sz w:val="22"/>
        </w:rPr>
        <w:t>Public API</w:t>
      </w:r>
    </w:p>
    <w:p>
      <w:pPr>
        <w:spacing w:before="0" w:after="160" w:line="280" w:lineRule="auto"/>
        <w:numPr>
          <w:ilvl w:val="0"/>
          <w:numId w:val="11"/>
        </w:numPr>
      </w:pPr>
      <w:r>
        <w:rPr>
          <w:rFonts w:ascii="Calibri" w:hAnsi="Calibri"/>
          <w:color w:val="182433"/>
          <w:sz w:val="22"/>
        </w:rPr>
        <w:t>Persistence model</w:t>
      </w:r>
    </w:p>
    <w:p>
      <w:pPr>
        <w:spacing w:before="0" w:after="160" w:line="280" w:lineRule="auto"/>
        <w:numPr>
          <w:ilvl w:val="0"/>
          <w:numId w:val="11"/>
        </w:numPr>
      </w:pPr>
      <w:r>
        <w:rPr>
          <w:rFonts w:ascii="Calibri" w:hAnsi="Calibri"/>
          <w:color w:val="182433"/>
          <w:sz w:val="22"/>
        </w:rPr>
        <w:t>Security, privacy, and abuse resistance</w:t>
      </w:r>
    </w:p>
    <w:p>
      <w:pPr>
        <w:spacing w:before="0" w:after="160" w:line="280" w:lineRule="auto"/>
        <w:numPr>
          <w:ilvl w:val="0"/>
          <w:numId w:val="11"/>
        </w:numPr>
      </w:pPr>
      <w:r>
        <w:rPr>
          <w:rFonts w:ascii="Calibri" w:hAnsi="Calibri"/>
          <w:color w:val="182433"/>
          <w:sz w:val="22"/>
        </w:rPr>
        <w:t>Non-functional requirements</w:t>
      </w:r>
    </w:p>
    <w:p>
      <w:pPr>
        <w:spacing w:before="0" w:after="160" w:line="280" w:lineRule="auto"/>
        <w:numPr>
          <w:ilvl w:val="0"/>
          <w:numId w:val="11"/>
        </w:numPr>
      </w:pPr>
      <w:r>
        <w:rPr>
          <w:rFonts w:ascii="Calibri" w:hAnsi="Calibri"/>
          <w:color w:val="182433"/>
          <w:sz w:val="22"/>
        </w:rPr>
        <w:t>Deployment architecture and prerequisites</w:t>
      </w:r>
    </w:p>
    <w:p>
      <w:pPr>
        <w:spacing w:before="0" w:after="160" w:line="280" w:lineRule="auto"/>
        <w:numPr>
          <w:ilvl w:val="0"/>
          <w:numId w:val="11"/>
        </w:numPr>
      </w:pPr>
      <w:r>
        <w:rPr>
          <w:rFonts w:ascii="Calibri" w:hAnsi="Calibri"/>
          <w:color w:val="182433"/>
          <w:sz w:val="22"/>
        </w:rPr>
        <w:t>Solo six-hour delivery plan</w:t>
      </w:r>
    </w:p>
    <w:p>
      <w:pPr>
        <w:spacing w:before="0" w:after="160" w:line="280" w:lineRule="auto"/>
        <w:numPr>
          <w:ilvl w:val="0"/>
          <w:numId w:val="11"/>
        </w:numPr>
      </w:pPr>
      <w:r>
        <w:rPr>
          <w:rFonts w:ascii="Calibri" w:hAnsi="Calibri"/>
          <w:color w:val="182433"/>
          <w:sz w:val="22"/>
        </w:rPr>
        <w:t>Test and acceptance plan</w:t>
      </w:r>
    </w:p>
    <w:p>
      <w:pPr>
        <w:spacing w:before="0" w:after="160" w:line="280" w:lineRule="auto"/>
        <w:numPr>
          <w:ilvl w:val="0"/>
          <w:numId w:val="11"/>
        </w:numPr>
      </w:pPr>
      <w:r>
        <w:rPr>
          <w:rFonts w:ascii="Calibri" w:hAnsi="Calibri"/>
          <w:color w:val="182433"/>
          <w:sz w:val="22"/>
        </w:rPr>
        <w:t>Demo script</w:t>
      </w:r>
    </w:p>
    <w:p>
      <w:pPr>
        <w:spacing w:before="0" w:after="160" w:line="280" w:lineRule="auto"/>
        <w:numPr>
          <w:ilvl w:val="0"/>
          <w:numId w:val="11"/>
        </w:numPr>
      </w:pPr>
      <w:r>
        <w:rPr>
          <w:rFonts w:ascii="Calibri" w:hAnsi="Calibri"/>
          <w:color w:val="182433"/>
          <w:sz w:val="22"/>
        </w:rPr>
        <w:t>Roadmap</w:t>
      </w:r>
    </w:p>
    <w:p>
      <w:pPr>
        <w:spacing w:before="0" w:after="160" w:line="280" w:lineRule="auto"/>
        <w:numPr>
          <w:ilvl w:val="0"/>
          <w:numId w:val="11"/>
        </w:numPr>
      </w:pPr>
      <w:r>
        <w:rPr>
          <w:rFonts w:ascii="Calibri" w:hAnsi="Calibri"/>
          <w:color w:val="182433"/>
          <w:sz w:val="22"/>
        </w:rPr>
        <w:t>Risks and mitigations</w:t>
      </w:r>
    </w:p>
    <w:p>
      <w:pPr>
        <w:spacing w:before="0" w:after="160" w:line="280" w:lineRule="auto"/>
        <w:numPr>
          <w:ilvl w:val="0"/>
          <w:numId w:val="11"/>
        </w:numPr>
      </w:pPr>
      <w:r>
        <w:rPr>
          <w:rFonts w:ascii="Calibri" w:hAnsi="Calibri"/>
          <w:color w:val="182433"/>
          <w:sz w:val="22"/>
        </w:rPr>
        <w:t>Locked assumptions</w:t>
      </w:r>
    </w:p>
    <w:p>
      <w:pPr>
        <w:spacing w:before="0" w:after="160" w:line="280" w:lineRule="auto"/>
        <w:numPr>
          <w:ilvl w:val="0"/>
          <w:numId w:val="11"/>
        </w:numPr>
      </w:pPr>
      <w:r>
        <w:rPr>
          <w:rFonts w:ascii="Calibri" w:hAnsi="Calibri"/>
          <w:color w:val="182433"/>
          <w:sz w:val="22"/>
        </w:rPr>
        <w:t>References</w:t>
      </w:r>
    </w:p>
    <w:p>
      <w:r>
        <w:br w:type="page"/>
      </w:r>
    </w:p>
    <w:p>
      <w:pPr>
        <w:pStyle w:val="Heading1"/>
      </w:pPr>
      <w:r>
        <w:rPr>
          <w:rFonts w:ascii="Calibri" w:hAnsi="Calibri"/>
          <w:color w:val="2E74B5"/>
          <w:sz w:val="32"/>
        </w:rPr>
        <w:t>1. Executive summary</w:t>
      </w:r>
    </w:p>
    <w:p>
      <w:r>
        <w:rPr>
          <w:rFonts w:ascii="Calibri" w:hAnsi="Calibri"/>
          <w:color w:val="182433"/>
          <w:sz w:val="22"/>
        </w:rPr>
        <w:t>RollbackReady is a pre-deployment safety layer for PostgreSQL projects that use Prisma Migrate. It accepts a Prisma migration history, a candidate migration, synthetic production-shaped data, and legacy SQL queries. It then performs deterministic static checks, reconstructs the pre-migration database in a disposable PostgreSQL sandbox, applies the migration, replays the legacy contract, injects failures, tests retries and recovery, and produces an evidence-backed report.</w:t>
      </w:r>
    </w:p>
    <w:p>
      <w:r>
        <w:rPr>
          <w:rFonts w:ascii="Calibri" w:hAnsi="Calibri"/>
          <w:color w:val="182433"/>
          <w:sz w:val="22"/>
        </w:rPr>
        <w:t xml:space="preserve">When the original migration is unsafe, RollbackReady may ask Gemini for a phased expand-and-contract plan. The model is allowed to explain findings and propose candidate SQL. It is not allowed to decide that its own plan is correct. Every generated phase is reparsed, policy-checked, and rerun from a clean PostgreSQL baseline. Only deterministic verification can produce the product's strongest verdict: </w:t>
      </w:r>
      <w:r>
        <w:rPr>
          <w:rFonts w:ascii="Consolas" w:hAnsi="Consolas"/>
          <w:color w:val="1F4D78"/>
          <w:sz w:val="21"/>
          <w:shd w:fill="EEF2F6"/>
        </w:rPr>
        <w:t>VERIFIED_FOR_REVIEW</w:t>
      </w:r>
      <w:r>
        <w:rPr>
          <w:rFonts w:ascii="Calibri" w:hAnsi="Calibri"/>
          <w:color w:val="182433"/>
          <w:sz w:val="22"/>
        </w:rPr>
        <w:t>.</w:t>
      </w:r>
    </w:p>
    <w:p>
      <w:r>
        <w:rPr>
          <w:rFonts w:ascii="Calibri" w:hAnsi="Calibri"/>
          <w:color w:val="182433"/>
          <w:sz w:val="22"/>
        </w:rPr>
        <w:t>RollbackReady never claims that a migration is universally safe or automatically deploys SQL. It never connects to production. Its output is evidence for a human reviewer, bounded by the supplied history, fixtures, queries, engine version, and test limits.</w:t>
      </w:r>
    </w:p>
    <w:p>
      <w:pPr>
        <w:pStyle w:val="Heading2"/>
      </w:pPr>
      <w:r>
        <w:rPr>
          <w:rFonts w:ascii="Calibri" w:hAnsi="Calibri"/>
          <w:color w:val="2E74B5"/>
          <w:sz w:val="26"/>
        </w:rPr>
        <w:t>1.1 Feasibility verdict</w:t>
      </w:r>
    </w:p>
    <w:p>
      <w:r>
        <w:rPr>
          <w:rFonts w:ascii="Calibri" w:hAnsi="Calibri"/>
          <w:color w:val="182433"/>
          <w:sz w:val="22"/>
        </w:rPr>
        <w:t>The project is technically feasible and has a credible product thesis. The full authenticated SaaS platform is not feasible for one developer in six hours. A focused, judgeable MVP is feasible if it preserves the technical differentiator and defers platform breadth.</w:t>
      </w:r>
    </w:p>
    <w:p>
      <w:r>
        <w:rPr>
          <w:rFonts w:ascii="Calibri" w:hAnsi="Calibri"/>
          <w:color w:val="182433"/>
          <w:sz w:val="22"/>
        </w:rPr>
        <w:t>The six-hour MVP includes:</w:t>
      </w:r>
    </w:p>
    <w:p>
      <w:pPr>
        <w:spacing w:before="0" w:after="160" w:line="280" w:lineRule="auto"/>
        <w:numPr>
          <w:ilvl w:val="0"/>
          <w:numId w:val="10"/>
        </w:numPr>
      </w:pPr>
      <w:r>
        <w:rPr>
          <w:rFonts w:ascii="Calibri" w:hAnsi="Calibri"/>
          <w:color w:val="182433"/>
          <w:sz w:val="22"/>
        </w:rPr>
        <w:t>PostgreSQL-only Prisma projects.</w:t>
      </w:r>
    </w:p>
    <w:p>
      <w:pPr>
        <w:spacing w:before="0" w:after="160" w:line="280" w:lineRule="auto"/>
        <w:numPr>
          <w:ilvl w:val="0"/>
          <w:numId w:val="10"/>
        </w:numPr>
      </w:pPr>
      <w:r>
        <w:rPr>
          <w:rFonts w:ascii="Calibri" w:hAnsi="Calibri"/>
          <w:color w:val="182433"/>
          <w:sz w:val="22"/>
        </w:rPr>
        <w:t>Complete migration-history replay.</w:t>
      </w:r>
    </w:p>
    <w:p>
      <w:pPr>
        <w:spacing w:before="0" w:after="160" w:line="280" w:lineRule="auto"/>
        <w:numPr>
          <w:ilvl w:val="0"/>
          <w:numId w:val="10"/>
        </w:numPr>
      </w:pPr>
      <w:r>
        <w:rPr>
          <w:rFonts w:ascii="Calibri" w:hAnsi="Calibri"/>
          <w:color w:val="182433"/>
          <w:sz w:val="22"/>
        </w:rPr>
        <w:t>Four deterministic risk-rule families.</w:t>
      </w:r>
    </w:p>
    <w:p>
      <w:pPr>
        <w:spacing w:before="0" w:after="160" w:line="280" w:lineRule="auto"/>
        <w:numPr>
          <w:ilvl w:val="0"/>
          <w:numId w:val="10"/>
        </w:numPr>
      </w:pPr>
      <w:r>
        <w:rPr>
          <w:rFonts w:ascii="Calibri" w:hAnsi="Calibri"/>
          <w:color w:val="182433"/>
          <w:sz w:val="22"/>
        </w:rPr>
        <w:t>Real disposable PostgreSQL execution.</w:t>
      </w:r>
    </w:p>
    <w:p>
      <w:pPr>
        <w:spacing w:before="0" w:after="160" w:line="280" w:lineRule="auto"/>
        <w:numPr>
          <w:ilvl w:val="0"/>
          <w:numId w:val="10"/>
        </w:numPr>
      </w:pPr>
      <w:r>
        <w:rPr>
          <w:rFonts w:ascii="Calibri" w:hAnsi="Calibri"/>
          <w:color w:val="182433"/>
          <w:sz w:val="22"/>
        </w:rPr>
        <w:t>Synthetic fixture loading and legacy-query replay.</w:t>
      </w:r>
    </w:p>
    <w:p>
      <w:pPr>
        <w:spacing w:before="0" w:after="160" w:line="280" w:lineRule="auto"/>
        <w:numPr>
          <w:ilvl w:val="0"/>
          <w:numId w:val="10"/>
        </w:numPr>
      </w:pPr>
      <w:r>
        <w:rPr>
          <w:rFonts w:ascii="Calibri" w:hAnsi="Calibri"/>
          <w:color w:val="182433"/>
          <w:sz w:val="22"/>
        </w:rPr>
        <w:t>Statement-boundary failure injection and retry classification.</w:t>
      </w:r>
    </w:p>
    <w:p>
      <w:pPr>
        <w:spacing w:before="0" w:after="160" w:line="280" w:lineRule="auto"/>
        <w:numPr>
          <w:ilvl w:val="0"/>
          <w:numId w:val="10"/>
        </w:numPr>
      </w:pPr>
      <w:r>
        <w:rPr>
          <w:rFonts w:ascii="Calibri" w:hAnsi="Calibri"/>
          <w:color w:val="182433"/>
          <w:sz w:val="22"/>
        </w:rPr>
        <w:t>Gemini-generated plans with strict structured output.</w:t>
      </w:r>
    </w:p>
    <w:p>
      <w:pPr>
        <w:spacing w:before="0" w:after="160" w:line="280" w:lineRule="auto"/>
        <w:numPr>
          <w:ilvl w:val="0"/>
          <w:numId w:val="10"/>
        </w:numPr>
      </w:pPr>
      <w:r>
        <w:rPr>
          <w:rFonts w:ascii="Calibri" w:hAnsi="Calibri"/>
          <w:color w:val="182433"/>
          <w:sz w:val="22"/>
        </w:rPr>
        <w:t>Fresh-sandbox verification of generated SQL.</w:t>
      </w:r>
    </w:p>
    <w:p>
      <w:pPr>
        <w:spacing w:before="0" w:after="160" w:line="280" w:lineRule="auto"/>
        <w:numPr>
          <w:ilvl w:val="0"/>
          <w:numId w:val="10"/>
        </w:numPr>
      </w:pPr>
      <w:r>
        <w:rPr>
          <w:rFonts w:ascii="Calibri" w:hAnsi="Calibri"/>
          <w:color w:val="182433"/>
          <w:sz w:val="22"/>
        </w:rPr>
        <w:t>A compact six-stage web stepper and evidence report.</w:t>
      </w:r>
    </w:p>
    <w:p>
      <w:r>
        <w:rPr>
          <w:rFonts w:ascii="Calibri" w:hAnsi="Calibri"/>
          <w:color w:val="182433"/>
          <w:sz w:val="22"/>
        </w:rPr>
        <w:t>The six-hour MVP excludes Clerk accounts, long-term user history, GitHub integration, multiple database engines, production cloning, distributed workers, measured production lock duration, and automated deployment.</w:t>
      </w:r>
    </w:p>
    <w:p>
      <w:pPr>
        <w:pStyle w:val="Heading2"/>
      </w:pPr>
      <w:r>
        <w:rPr>
          <w:rFonts w:ascii="Calibri" w:hAnsi="Calibri"/>
          <w:color w:val="2E74B5"/>
          <w:sz w:val="26"/>
        </w:rPr>
        <w:t>1.2 Current implementation readiness</w:t>
      </w:r>
    </w:p>
    <w:p>
      <w:r>
        <w:t>The MVP is implemented on the synchronized codex/rollbackready-mvp branches in the backend and frontend repositories. Both draft pull requests are mergeable and their current GitHub Actions checks pass. The implementation includes the complete upload and built-in-demo flow, deterministic rules, PostgreSQL 18 simulation, content-preservation hashes, statement-boundary failure and retry evidence, LangGraph-orchestrated Gemini planning with deterministic fallback, fresh-baseline plan verification, owner-aware sanitized report persistence, expiry cleanup, rate limits, and the six-stage responsive frontend.</w:t>
      </w:r>
    </w:p>
    <w:p>
      <w:r>
        <w:t>The earlier baseline blockers are resolved. Ruff, compilation, backend tests, frontend linting, TypeScript checks, and production builds pass. The migration history includes sanitized evidence and Clerk ownership migrations. Vertex AI is enabled and the backend runtime identity has roles/aiplatform.user. The simulator image packages PostgreSQL 18, Cloud Run is configured for a single 2 GiB instance, and the GKE manifests provide a single control pod with bounded memory and ephemeral storage.</w:t>
      </w:r>
    </w:p>
    <w:p>
      <w:pPr/>
      <w:r>
        <w:t>The release candidate has not been merged or promoted because deployment requires separate approval. The live Cloud Run services therefore still run the earlier foundation revisions. Clerk authentication and ownership isolation are implemented as an optional path, but no Clerk publishable or secret keys are configured in GitHub or Google Secret Manager; the supported hackathon configuration remains anonymous opaque IDs with 24-hour sanitized-report expiry.</w:t>
      </w:r>
    </w:p>
    <w:p>
      <w:pPr>
        <w:pStyle w:val="Heading1"/>
      </w:pPr>
      <w:r>
        <w:rPr>
          <w:rFonts w:ascii="Calibri" w:hAnsi="Calibri"/>
          <w:color w:val="2E74B5"/>
          <w:sz w:val="32"/>
        </w:rPr>
        <w:t>2. Problem and opportunity</w:t>
      </w:r>
    </w:p>
    <w:p>
      <w:pPr>
        <w:pStyle w:val="Heading2"/>
      </w:pPr>
      <w:r>
        <w:rPr>
          <w:rFonts w:ascii="Calibri" w:hAnsi="Calibri"/>
          <w:color w:val="2E74B5"/>
          <w:sz w:val="26"/>
        </w:rPr>
        <w:t>2.1 User problem</w:t>
      </w:r>
    </w:p>
    <w:p>
      <w:r>
        <w:rPr>
          <w:rFonts w:ascii="Calibri" w:hAnsi="Calibri"/>
          <w:color w:val="182433"/>
          <w:sz w:val="22"/>
        </w:rPr>
        <w:t xml:space="preserve">Prisma Migrate produces customizable SQL migrations and provides strong development workflows. In production, </w:t>
      </w:r>
      <w:r>
        <w:rPr>
          <w:rFonts w:ascii="Consolas" w:hAnsi="Consolas"/>
          <w:color w:val="1F4D78"/>
          <w:sz w:val="21"/>
          <w:shd w:fill="EEF2F6"/>
        </w:rPr>
        <w:t>prisma migrate deploy</w:t>
      </w:r>
      <w:r>
        <w:rPr>
          <w:rFonts w:ascii="Calibri" w:hAnsi="Calibri"/>
          <w:color w:val="182433"/>
          <w:sz w:val="22"/>
        </w:rPr>
        <w:t xml:space="preserve"> primarily checks migration history and applies pending migration files. It does not detect schema drift and does not use a shadow database [1]. Prisma also documents that the full migration directory is the source of truth; </w:t>
      </w:r>
      <w:r>
        <w:rPr>
          <w:rFonts w:ascii="Consolas" w:hAnsi="Consolas"/>
          <w:color w:val="1F4D78"/>
          <w:sz w:val="21"/>
          <w:shd w:fill="EEF2F6"/>
        </w:rPr>
        <w:t>schema.prisma</w:t>
      </w:r>
      <w:r>
        <w:rPr>
          <w:rFonts w:ascii="Calibri" w:hAnsi="Calibri"/>
          <w:color w:val="182433"/>
          <w:sz w:val="22"/>
        </w:rPr>
        <w:t xml:space="preserve"> alone cannot represent customized migration history [2].</w:t>
      </w:r>
    </w:p>
    <w:p>
      <w:r>
        <w:rPr>
          <w:rFonts w:ascii="Calibri" w:hAnsi="Calibri"/>
          <w:color w:val="182433"/>
          <w:sz w:val="22"/>
        </w:rPr>
        <w:t>A migration that applies successfully can still be operationally unsafe:</w:t>
      </w:r>
    </w:p>
    <w:p>
      <w:pPr>
        <w:spacing w:before="0" w:after="160" w:line="280" w:lineRule="auto"/>
        <w:numPr>
          <w:ilvl w:val="0"/>
          <w:numId w:val="10"/>
        </w:numPr>
      </w:pPr>
      <w:r>
        <w:rPr>
          <w:rFonts w:ascii="Calibri" w:hAnsi="Calibri"/>
          <w:color w:val="182433"/>
          <w:sz w:val="22"/>
        </w:rPr>
        <w:t xml:space="preserve">Existing data can violate a new </w:t>
      </w:r>
      <w:r>
        <w:rPr>
          <w:rFonts w:ascii="Consolas" w:hAnsi="Consolas"/>
          <w:color w:val="1F4D78"/>
          <w:sz w:val="21"/>
          <w:shd w:fill="EEF2F6"/>
        </w:rPr>
        <w:t>NOT NULL</w:t>
      </w:r>
      <w:r>
        <w:rPr>
          <w:rFonts w:ascii="Calibri" w:hAnsi="Calibri"/>
          <w:color w:val="182433"/>
          <w:sz w:val="22"/>
        </w:rPr>
        <w:t xml:space="preserve">, </w:t>
      </w:r>
      <w:r>
        <w:rPr>
          <w:rFonts w:ascii="Consolas" w:hAnsi="Consolas"/>
          <w:color w:val="1F4D78"/>
          <w:sz w:val="21"/>
          <w:shd w:fill="EEF2F6"/>
        </w:rPr>
        <w:t>UNIQUE</w:t>
      </w:r>
      <w:r>
        <w:rPr>
          <w:rFonts w:ascii="Calibri" w:hAnsi="Calibri"/>
          <w:color w:val="182433"/>
          <w:sz w:val="22"/>
        </w:rPr>
        <w:t xml:space="preserve">, or </w:t>
      </w:r>
      <w:r>
        <w:rPr>
          <w:rFonts w:ascii="Consolas" w:hAnsi="Consolas"/>
          <w:color w:val="1F4D78"/>
          <w:sz w:val="21"/>
          <w:shd w:fill="EEF2F6"/>
        </w:rPr>
        <w:t>CHECK</w:t>
      </w:r>
      <w:r>
        <w:rPr>
          <w:rFonts w:ascii="Calibri" w:hAnsi="Calibri"/>
          <w:color w:val="182433"/>
          <w:sz w:val="22"/>
        </w:rPr>
        <w:t xml:space="preserve"> constraint.</w:t>
      </w:r>
    </w:p>
    <w:p>
      <w:pPr>
        <w:spacing w:before="0" w:after="160" w:line="280" w:lineRule="auto"/>
        <w:numPr>
          <w:ilvl w:val="0"/>
          <w:numId w:val="10"/>
        </w:numPr>
      </w:pPr>
      <w:r>
        <w:rPr>
          <w:rFonts w:ascii="Calibri" w:hAnsi="Calibri"/>
          <w:color w:val="182433"/>
          <w:sz w:val="22"/>
        </w:rPr>
        <w:t>Old application instances can fail during a rolling deployment after a rename or drop.</w:t>
      </w:r>
    </w:p>
    <w:p>
      <w:pPr>
        <w:spacing w:before="0" w:after="160" w:line="280" w:lineRule="auto"/>
        <w:numPr>
          <w:ilvl w:val="0"/>
          <w:numId w:val="10"/>
        </w:numPr>
      </w:pPr>
      <w:r>
        <w:rPr>
          <w:rFonts w:ascii="Calibri" w:hAnsi="Calibri"/>
          <w:color w:val="182433"/>
          <w:sz w:val="22"/>
        </w:rPr>
        <w:t>An interrupted multi-statement migration can leave a partially modified database.</w:t>
      </w:r>
    </w:p>
    <w:p>
      <w:pPr>
        <w:spacing w:before="0" w:after="160" w:line="280" w:lineRule="auto"/>
        <w:numPr>
          <w:ilvl w:val="0"/>
          <w:numId w:val="10"/>
        </w:numPr>
      </w:pPr>
      <w:r>
        <w:rPr>
          <w:rFonts w:ascii="Calibri" w:hAnsi="Calibri"/>
          <w:color w:val="182433"/>
          <w:sz w:val="22"/>
        </w:rPr>
        <w:t>Retrying an incomplete migration can fail or duplicate work.</w:t>
      </w:r>
    </w:p>
    <w:p>
      <w:pPr>
        <w:spacing w:before="0" w:after="160" w:line="280" w:lineRule="auto"/>
        <w:numPr>
          <w:ilvl w:val="0"/>
          <w:numId w:val="10"/>
        </w:numPr>
      </w:pPr>
      <w:r>
        <w:rPr>
          <w:rFonts w:ascii="Calibri" w:hAnsi="Calibri"/>
          <w:color w:val="182433"/>
          <w:sz w:val="22"/>
        </w:rPr>
        <w:t>A schema-level reversal can recreate structure without restoring deleted data.</w:t>
      </w:r>
    </w:p>
    <w:p>
      <w:pPr>
        <w:spacing w:before="0" w:after="160" w:line="280" w:lineRule="auto"/>
        <w:numPr>
          <w:ilvl w:val="0"/>
          <w:numId w:val="10"/>
        </w:numPr>
      </w:pPr>
      <w:r>
        <w:rPr>
          <w:rFonts w:ascii="Calibri" w:hAnsi="Calibri"/>
          <w:color w:val="182433"/>
          <w:sz w:val="22"/>
        </w:rPr>
        <w:t>A lock-prone statement can create downtime even if it is structurally correct.</w:t>
      </w:r>
    </w:p>
    <w:p>
      <w:pPr>
        <w:spacing w:before="0" w:after="160" w:line="280" w:lineRule="auto"/>
        <w:numPr>
          <w:ilvl w:val="0"/>
          <w:numId w:val="10"/>
        </w:numPr>
      </w:pPr>
      <w:r>
        <w:rPr>
          <w:rFonts w:ascii="Calibri" w:hAnsi="Calibri"/>
          <w:color w:val="182433"/>
          <w:sz w:val="22"/>
        </w:rPr>
        <w:t>Generated remediation SQL can be syntactically valid while semantically wrong.</w:t>
      </w:r>
    </w:p>
    <w:p>
      <w:r>
        <w:rPr>
          <w:rFonts w:ascii="Calibri" w:hAnsi="Calibri"/>
          <w:color w:val="182433"/>
          <w:sz w:val="22"/>
        </w:rPr>
        <w:t xml:space="preserve">Developers need a pre-deployment answer to a different question: </w:t>
      </w:r>
      <w:r>
        <w:rPr>
          <w:rFonts w:ascii="Calibri" w:hAnsi="Calibri"/>
          <w:b/>
          <w:color w:val="182433"/>
          <w:sz w:val="22"/>
        </w:rPr>
        <w:t>what evidence shows that this migration, data shape, compatibility contract, interruption point, and recovery strategy survive together?</w:t>
      </w:r>
    </w:p>
    <w:p>
      <w:pPr>
        <w:pStyle w:val="Heading2"/>
      </w:pPr>
      <w:r>
        <w:rPr>
          <w:rFonts w:ascii="Calibri" w:hAnsi="Calibri"/>
          <w:color w:val="2E74B5"/>
          <w:sz w:val="26"/>
        </w:rPr>
        <w:t>2.2 Market distinction</w:t>
      </w:r>
    </w:p>
    <w:p>
      <w:r>
        <w:rPr>
          <w:rFonts w:ascii="Calibri" w:hAnsi="Calibri"/>
          <w:color w:val="182433"/>
          <w:sz w:val="22"/>
        </w:rPr>
        <w:t>Static migration safety is an established category. Atlas analyzes destructive, data-dependent, backward-incompatible, and lock-related changes [3]. Squawk provides PostgreSQL migration linting and CI integration [4]. Prisma now documents pgfence as a pre-deploy safety check [5]. RollbackReady must not position ordinary SQL linting as its invention.</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874"/>
        <w:gridCol w:w="2224"/>
        <w:gridCol w:w="1896"/>
        <w:gridCol w:w="2366"/>
      </w:tblGrid>
      <w:tr>
        <w:trPr>
          <w:tblHeader w:val="true"/>
        </w:trPr>
        <w:tc>
          <w:tcPr>
            <w:tcW w:type="dxa" w:w="2874"/>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Capability</w:t>
            </w:r>
          </w:p>
        </w:tc>
        <w:tc>
          <w:tcPr>
            <w:tcW w:type="dxa" w:w="2224"/>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Prisma Migrate</w:t>
            </w:r>
          </w:p>
        </w:tc>
        <w:tc>
          <w:tcPr>
            <w:tcW w:type="dxa" w:w="1896"/>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Static linters</w:t>
            </w:r>
          </w:p>
        </w:tc>
        <w:tc>
          <w:tcPr>
            <w:tcW w:type="dxa" w:w="2366"/>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RollbackReady</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Apply pending migrations</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Yes</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No</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Sandbox only</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Static destructive-change rules</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Some development warnings</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Yes</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Yes</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Reconstruct full Prisma history</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Development workflow</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Tool-dependent</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Required for verified mode</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Test production-shaped fixtures</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No</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Usually no</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Yes</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Replay previous app queries</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No</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Static inference at most</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Yes</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Inject partial failures</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No</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No</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Yes</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Test retry and recovery</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No</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No</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Yes</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Classify data reversibility</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Limited guidance</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Tool-dependent</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Explicit evidence dimension</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Generate phased remediation</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Manual</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Recipes/tool-dependent</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Gemini candidate plan</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Verify generated remediation</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No</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No</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Fresh deterministic simulation</w:t>
            </w:r>
          </w:p>
        </w:tc>
      </w:tr>
      <w:tr>
        <w:tc>
          <w:tcPr>
            <w:tcW w:type="dxa" w:w="2874"/>
            <w:vAlign w:val="center"/>
            <w:tcMar>
              <w:top w:w="80" w:type="dxa"/>
              <w:start w:w="120" w:type="dxa"/>
              <w:bottom w:w="80" w:type="dxa"/>
              <w:end w:w="120" w:type="dxa"/>
            </w:tcMar>
          </w:tcPr>
          <w:p>
            <w:pPr>
              <w:spacing w:before="0" w:after="40" w:line="252" w:lineRule="auto"/>
            </w:pPr>
            <w:r>
              <w:rPr>
                <w:rFonts w:ascii="Calibri" w:hAnsi="Calibri"/>
                <w:color w:val="182433"/>
                <w:sz w:val="18"/>
              </w:rPr>
              <w:t>Connect to production</w:t>
            </w:r>
          </w:p>
        </w:tc>
        <w:tc>
          <w:tcPr>
            <w:tcW w:type="dxa" w:w="2224"/>
            <w:vAlign w:val="center"/>
            <w:tcMar>
              <w:top w:w="80" w:type="dxa"/>
              <w:start w:w="120" w:type="dxa"/>
              <w:bottom w:w="80" w:type="dxa"/>
              <w:end w:w="120" w:type="dxa"/>
            </w:tcMar>
          </w:tcPr>
          <w:p>
            <w:pPr>
              <w:spacing w:before="0" w:after="40" w:line="252" w:lineRule="auto"/>
            </w:pPr>
            <w:r>
              <w:rPr>
                <w:rFonts w:ascii="Calibri" w:hAnsi="Calibri"/>
                <w:color w:val="182433"/>
                <w:sz w:val="18"/>
              </w:rPr>
              <w:t>Production deploy command can</w:t>
            </w:r>
          </w:p>
        </w:tc>
        <w:tc>
          <w:tcPr>
            <w:tcW w:type="dxa" w:w="1896"/>
            <w:vAlign w:val="center"/>
            <w:tcMar>
              <w:top w:w="80" w:type="dxa"/>
              <w:start w:w="120" w:type="dxa"/>
              <w:bottom w:w="80" w:type="dxa"/>
              <w:end w:w="120" w:type="dxa"/>
            </w:tcMar>
          </w:tcPr>
          <w:p>
            <w:pPr>
              <w:spacing w:before="0" w:after="40" w:line="252" w:lineRule="auto"/>
            </w:pPr>
            <w:r>
              <w:rPr>
                <w:rFonts w:ascii="Calibri" w:hAnsi="Calibri"/>
                <w:color w:val="182433"/>
                <w:sz w:val="18"/>
              </w:rPr>
              <w:t>Not required</w:t>
            </w:r>
          </w:p>
        </w:tc>
        <w:tc>
          <w:tcPr>
            <w:tcW w:type="dxa" w:w="2366"/>
            <w:vAlign w:val="center"/>
            <w:tcMar>
              <w:top w:w="80" w:type="dxa"/>
              <w:start w:w="120" w:type="dxa"/>
              <w:bottom w:w="80" w:type="dxa"/>
              <w:end w:w="120" w:type="dxa"/>
            </w:tcMar>
          </w:tcPr>
          <w:p>
            <w:pPr>
              <w:spacing w:before="0" w:after="40" w:line="252" w:lineRule="auto"/>
            </w:pPr>
            <w:r>
              <w:rPr>
                <w:rFonts w:ascii="Calibri" w:hAnsi="Calibri"/>
                <w:color w:val="182433"/>
                <w:sz w:val="18"/>
              </w:rPr>
              <w:t>Never</w:t>
            </w:r>
          </w:p>
        </w:tc>
      </w:tr>
    </w:tbl>
    <w:p>
      <w:pPr>
        <w:spacing w:after="40"/>
      </w:pPr>
    </w:p>
    <w:p>
      <w:r>
        <w:rPr>
          <w:rFonts w:ascii="Calibri" w:hAnsi="Calibri"/>
          <w:color w:val="182433"/>
          <w:sz w:val="22"/>
        </w:rPr>
        <w:t>RollbackReady's defensible wedge is the combination of Prisma-first history replay, representative data, executable legacy contracts, failure experiments, recovery classification, and deterministic validation of AI-generated plans.</w:t>
      </w:r>
    </w:p>
    <w:p>
      <w:pPr>
        <w:pStyle w:val="Heading1"/>
      </w:pPr>
      <w:r>
        <w:rPr>
          <w:rFonts w:ascii="Calibri" w:hAnsi="Calibri"/>
          <w:color w:val="2E74B5"/>
          <w:sz w:val="32"/>
        </w:rPr>
        <w:t>3. Product vision, users, and jobs</w:t>
      </w:r>
    </w:p>
    <w:p>
      <w:pPr>
        <w:pStyle w:val="Heading2"/>
      </w:pPr>
      <w:r>
        <w:rPr>
          <w:rFonts w:ascii="Calibri" w:hAnsi="Calibri"/>
          <w:color w:val="2E74B5"/>
          <w:sz w:val="26"/>
        </w:rPr>
        <w:t>3.1 Vision</w:t>
      </w:r>
    </w:p>
    <w:p>
      <w:r>
        <w:rPr>
          <w:rFonts w:ascii="Calibri" w:hAnsi="Calibri"/>
          <w:color w:val="182433"/>
          <w:sz w:val="22"/>
        </w:rPr>
        <w:t>Make high-risk schema changes reviewable as evidence, not intuition. Every claim should link to a rule, SQL statement, fixture result, query result, snapshot difference, or reproducible simulation event.</w:t>
      </w:r>
    </w:p>
    <w:p>
      <w:pPr>
        <w:pStyle w:val="Heading2"/>
      </w:pPr>
      <w:r>
        <w:rPr>
          <w:rFonts w:ascii="Calibri" w:hAnsi="Calibri"/>
          <w:color w:val="2E74B5"/>
          <w:sz w:val="26"/>
        </w:rPr>
        <w:t>3.2 Primary persona</w:t>
      </w:r>
    </w:p>
    <w:p>
      <w:r>
        <w:rPr>
          <w:rFonts w:ascii="Calibri" w:hAnsi="Calibri"/>
          <w:b/>
          <w:color w:val="182433"/>
          <w:sz w:val="22"/>
        </w:rPr>
        <w:t>Prisma application team:</w:t>
      </w:r>
      <w:r>
        <w:rPr>
          <w:rFonts w:ascii="Calibri" w:hAnsi="Calibri"/>
          <w:color w:val="182433"/>
          <w:sz w:val="22"/>
        </w:rPr>
        <w:t xml:space="preserve"> a full-stack developer or technical lead at a small-to-medium team shipping a Node.js/TypeScript application backed by PostgreSQL and using Prisma Migrate in CI/CD.</w:t>
      </w:r>
    </w:p>
    <w:p>
      <w:r>
        <w:rPr>
          <w:rFonts w:ascii="Calibri" w:hAnsi="Calibri"/>
          <w:color w:val="182433"/>
          <w:sz w:val="22"/>
        </w:rPr>
        <w:t>Primary characteristics:</w:t>
      </w:r>
    </w:p>
    <w:p>
      <w:pPr>
        <w:spacing w:before="0" w:after="160" w:line="280" w:lineRule="auto"/>
        <w:numPr>
          <w:ilvl w:val="0"/>
          <w:numId w:val="10"/>
        </w:numPr>
      </w:pPr>
      <w:r>
        <w:rPr>
          <w:rFonts w:ascii="Calibri" w:hAnsi="Calibri"/>
          <w:color w:val="182433"/>
          <w:sz w:val="22"/>
        </w:rPr>
        <w:t>Owns application code and migrations but may not have a dedicated DBA.</w:t>
      </w:r>
    </w:p>
    <w:p>
      <w:pPr>
        <w:spacing w:before="0" w:after="160" w:line="280" w:lineRule="auto"/>
        <w:numPr>
          <w:ilvl w:val="0"/>
          <w:numId w:val="10"/>
        </w:numPr>
      </w:pPr>
      <w:r>
        <w:rPr>
          <w:rFonts w:ascii="Calibri" w:hAnsi="Calibri"/>
          <w:color w:val="182433"/>
          <w:sz w:val="22"/>
        </w:rPr>
        <w:t>Uses rolling or zero-downtime deployment patterns.</w:t>
      </w:r>
    </w:p>
    <w:p>
      <w:pPr>
        <w:spacing w:before="0" w:after="160" w:line="280" w:lineRule="auto"/>
        <w:numPr>
          <w:ilvl w:val="0"/>
          <w:numId w:val="10"/>
        </w:numPr>
      </w:pPr>
      <w:r>
        <w:rPr>
          <w:rFonts w:ascii="Calibri" w:hAnsi="Calibri"/>
          <w:color w:val="182433"/>
          <w:sz w:val="22"/>
        </w:rPr>
        <w:t>Wants actionable explanations rather than database jargon alone.</w:t>
      </w:r>
    </w:p>
    <w:p>
      <w:pPr>
        <w:spacing w:before="0" w:after="160" w:line="280" w:lineRule="auto"/>
        <w:numPr>
          <w:ilvl w:val="0"/>
          <w:numId w:val="10"/>
        </w:numPr>
      </w:pPr>
      <w:r>
        <w:rPr>
          <w:rFonts w:ascii="Calibri" w:hAnsi="Calibri"/>
          <w:color w:val="182433"/>
          <w:sz w:val="22"/>
        </w:rPr>
        <w:t>Needs a fast pull-request or pre-release confidence check.</w:t>
      </w:r>
    </w:p>
    <w:p>
      <w:pPr>
        <w:spacing w:before="0" w:after="160" w:line="280" w:lineRule="auto"/>
        <w:numPr>
          <w:ilvl w:val="0"/>
          <w:numId w:val="10"/>
        </w:numPr>
      </w:pPr>
      <w:r>
        <w:rPr>
          <w:rFonts w:ascii="Calibri" w:hAnsi="Calibri"/>
          <w:color w:val="182433"/>
          <w:sz w:val="22"/>
        </w:rPr>
        <w:t>Cannot safely provide production credentials to a hackathon tool.</w:t>
      </w:r>
    </w:p>
    <w:p>
      <w:pPr>
        <w:pStyle w:val="Heading2"/>
      </w:pPr>
      <w:r>
        <w:rPr>
          <w:rFonts w:ascii="Calibri" w:hAnsi="Calibri"/>
          <w:color w:val="2E74B5"/>
          <w:sz w:val="26"/>
        </w:rPr>
        <w:t>3.3 Secondary personas</w:t>
      </w:r>
    </w:p>
    <w:p>
      <w:pPr>
        <w:spacing w:before="0" w:after="160" w:line="280" w:lineRule="auto"/>
        <w:numPr>
          <w:ilvl w:val="0"/>
          <w:numId w:val="10"/>
        </w:numPr>
      </w:pPr>
      <w:r>
        <w:rPr>
          <w:rFonts w:ascii="Calibri" w:hAnsi="Calibri"/>
          <w:b/>
          <w:color w:val="182433"/>
          <w:sz w:val="22"/>
        </w:rPr>
        <w:t>Reviewer or tech lead:</w:t>
      </w:r>
      <w:r>
        <w:rPr>
          <w:rFonts w:ascii="Calibri" w:hAnsi="Calibri"/>
          <w:color w:val="182433"/>
          <w:sz w:val="22"/>
        </w:rPr>
        <w:t xml:space="preserve"> needs traceable evidence and a clear reason to block or approve human review.</w:t>
      </w:r>
    </w:p>
    <w:p>
      <w:pPr>
        <w:spacing w:before="0" w:after="160" w:line="280" w:lineRule="auto"/>
        <w:numPr>
          <w:ilvl w:val="0"/>
          <w:numId w:val="10"/>
        </w:numPr>
      </w:pPr>
      <w:r>
        <w:rPr>
          <w:rFonts w:ascii="Calibri" w:hAnsi="Calibri"/>
          <w:b/>
          <w:color w:val="182433"/>
          <w:sz w:val="22"/>
        </w:rPr>
        <w:t>Platform engineer:</w:t>
      </w:r>
      <w:r>
        <w:rPr>
          <w:rFonts w:ascii="Calibri" w:hAnsi="Calibri"/>
          <w:color w:val="182433"/>
          <w:sz w:val="22"/>
        </w:rPr>
        <w:t xml:space="preserve"> wants policy thresholds, repeatable reports, and eventual CI integration.</w:t>
      </w:r>
    </w:p>
    <w:p>
      <w:pPr>
        <w:spacing w:before="0" w:after="160" w:line="280" w:lineRule="auto"/>
        <w:numPr>
          <w:ilvl w:val="0"/>
          <w:numId w:val="10"/>
        </w:numPr>
      </w:pPr>
      <w:r>
        <w:rPr>
          <w:rFonts w:ascii="Calibri" w:hAnsi="Calibri"/>
          <w:b/>
          <w:color w:val="182433"/>
          <w:sz w:val="22"/>
        </w:rPr>
        <w:t>Database specialist:</w:t>
      </w:r>
      <w:r>
        <w:rPr>
          <w:rFonts w:ascii="Calibri" w:hAnsi="Calibri"/>
          <w:color w:val="182433"/>
          <w:sz w:val="22"/>
        </w:rPr>
        <w:t xml:space="preserve"> wants raw SQL, query failures, snapshot differences, and honest limitations.</w:t>
      </w:r>
    </w:p>
    <w:p>
      <w:pPr>
        <w:pStyle w:val="Heading2"/>
      </w:pPr>
      <w:r>
        <w:rPr>
          <w:rFonts w:ascii="Calibri" w:hAnsi="Calibri"/>
          <w:color w:val="2E74B5"/>
          <w:sz w:val="26"/>
        </w:rPr>
        <w:t>3.4 Jobs to be done</w:t>
      </w:r>
    </w:p>
    <w:p>
      <w:pPr>
        <w:spacing w:before="0" w:after="160" w:line="280" w:lineRule="auto"/>
        <w:numPr>
          <w:ilvl w:val="0"/>
          <w:numId w:val="12"/>
        </w:numPr>
      </w:pPr>
      <w:r>
        <w:rPr>
          <w:rFonts w:ascii="Calibri" w:hAnsi="Calibri"/>
          <w:color w:val="182433"/>
          <w:sz w:val="22"/>
        </w:rPr>
        <w:t>When I am about to merge a Prisma migration, show me what can destroy data, reject existing rows, or break the old application.</w:t>
      </w:r>
    </w:p>
    <w:p>
      <w:pPr>
        <w:spacing w:before="0" w:after="160" w:line="280" w:lineRule="auto"/>
        <w:numPr>
          <w:ilvl w:val="0"/>
          <w:numId w:val="12"/>
        </w:numPr>
      </w:pPr>
      <w:r>
        <w:rPr>
          <w:rFonts w:ascii="Calibri" w:hAnsi="Calibri"/>
          <w:color w:val="182433"/>
          <w:sz w:val="22"/>
        </w:rPr>
        <w:t>When a migration contains several statements, show me what remains after interruption and whether retry is safe.</w:t>
      </w:r>
    </w:p>
    <w:p>
      <w:pPr>
        <w:spacing w:before="0" w:after="160" w:line="280" w:lineRule="auto"/>
        <w:numPr>
          <w:ilvl w:val="0"/>
          <w:numId w:val="12"/>
        </w:numPr>
      </w:pPr>
      <w:r>
        <w:rPr>
          <w:rFonts w:ascii="Calibri" w:hAnsi="Calibri"/>
          <w:color w:val="182433"/>
          <w:sz w:val="22"/>
        </w:rPr>
        <w:t>When reversal cannot restore data, distinguish schema recovery from data recovery.</w:t>
      </w:r>
    </w:p>
    <w:p>
      <w:pPr>
        <w:spacing w:before="0" w:after="160" w:line="280" w:lineRule="auto"/>
        <w:numPr>
          <w:ilvl w:val="0"/>
          <w:numId w:val="12"/>
        </w:numPr>
      </w:pPr>
      <w:r>
        <w:rPr>
          <w:rFonts w:ascii="Calibri" w:hAnsi="Calibri"/>
          <w:color w:val="182433"/>
          <w:sz w:val="22"/>
        </w:rPr>
        <w:t>When a migration is unsafe, propose a phased alternative and prove whether it works on the supplied evidence.</w:t>
      </w:r>
    </w:p>
    <w:p>
      <w:pPr>
        <w:spacing w:before="0" w:after="160" w:line="280" w:lineRule="auto"/>
        <w:numPr>
          <w:ilvl w:val="0"/>
          <w:numId w:val="12"/>
        </w:numPr>
      </w:pPr>
      <w:r>
        <w:rPr>
          <w:rFonts w:ascii="Calibri" w:hAnsi="Calibri"/>
          <w:color w:val="182433"/>
          <w:sz w:val="22"/>
        </w:rPr>
        <w:t>When evidence is missing, tell me exactly what was not tested instead of manufacturing confidence.</w:t>
      </w:r>
    </w:p>
    <w:p>
      <w:pPr>
        <w:pStyle w:val="Heading1"/>
      </w:pPr>
      <w:r>
        <w:rPr>
          <w:rFonts w:ascii="Calibri" w:hAnsi="Calibri"/>
          <w:color w:val="2E74B5"/>
          <w:sz w:val="32"/>
        </w:rPr>
        <w:t>4. Goals, non-goals, and success metrics</w:t>
      </w:r>
    </w:p>
    <w:p>
      <w:pPr>
        <w:pStyle w:val="Heading2"/>
      </w:pPr>
      <w:r>
        <w:rPr>
          <w:rFonts w:ascii="Calibri" w:hAnsi="Calibri"/>
          <w:color w:val="2E74B5"/>
          <w:sz w:val="26"/>
        </w:rPr>
        <w:t>4.1 Goals</w:t>
      </w:r>
    </w:p>
    <w:p>
      <w:pPr>
        <w:spacing w:before="0" w:after="160" w:line="280" w:lineRule="auto"/>
        <w:numPr>
          <w:ilvl w:val="0"/>
          <w:numId w:val="10"/>
        </w:numPr>
      </w:pPr>
      <w:r>
        <w:rPr>
          <w:rFonts w:ascii="Calibri" w:hAnsi="Calibri"/>
          <w:color w:val="182433"/>
          <w:sz w:val="22"/>
        </w:rPr>
        <w:t>Detect and explain the four MVP risk families with deterministic rules.</w:t>
      </w:r>
    </w:p>
    <w:p>
      <w:pPr>
        <w:spacing w:before="0" w:after="160" w:line="280" w:lineRule="auto"/>
        <w:numPr>
          <w:ilvl w:val="0"/>
          <w:numId w:val="10"/>
        </w:numPr>
      </w:pPr>
      <w:r>
        <w:rPr>
          <w:rFonts w:ascii="Calibri" w:hAnsi="Calibri"/>
          <w:color w:val="182433"/>
          <w:sz w:val="22"/>
        </w:rPr>
        <w:t>Execute supported PostgreSQL migrations against a disposable PostgreSQL 18 instance.</w:t>
      </w:r>
    </w:p>
    <w:p>
      <w:pPr>
        <w:spacing w:before="0" w:after="160" w:line="280" w:lineRule="auto"/>
        <w:numPr>
          <w:ilvl w:val="0"/>
          <w:numId w:val="10"/>
        </w:numPr>
      </w:pPr>
      <w:r>
        <w:rPr>
          <w:rFonts w:ascii="Calibri" w:hAnsi="Calibri"/>
          <w:color w:val="182433"/>
          <w:sz w:val="22"/>
        </w:rPr>
        <w:t>Reproduce the pre-migration state by replaying complete prior Prisma migrations.</w:t>
      </w:r>
    </w:p>
    <w:p>
      <w:pPr>
        <w:spacing w:before="0" w:after="160" w:line="280" w:lineRule="auto"/>
        <w:numPr>
          <w:ilvl w:val="0"/>
          <w:numId w:val="10"/>
        </w:numPr>
      </w:pPr>
      <w:r>
        <w:rPr>
          <w:rFonts w:ascii="Calibri" w:hAnsi="Calibri"/>
          <w:color w:val="182433"/>
          <w:sz w:val="22"/>
        </w:rPr>
        <w:t>Demonstrate data-dependent failures using synthetic fixtures.</w:t>
      </w:r>
    </w:p>
    <w:p>
      <w:pPr>
        <w:spacing w:before="0" w:after="160" w:line="280" w:lineRule="auto"/>
        <w:numPr>
          <w:ilvl w:val="0"/>
          <w:numId w:val="10"/>
        </w:numPr>
      </w:pPr>
      <w:r>
        <w:rPr>
          <w:rFonts w:ascii="Calibri" w:hAnsi="Calibri"/>
          <w:color w:val="182433"/>
          <w:sz w:val="22"/>
        </w:rPr>
        <w:t>Demonstrate rolling-deployment compatibility using legacy queries.</w:t>
      </w:r>
    </w:p>
    <w:p>
      <w:pPr>
        <w:spacing w:before="0" w:after="160" w:line="280" w:lineRule="auto"/>
        <w:numPr>
          <w:ilvl w:val="0"/>
          <w:numId w:val="10"/>
        </w:numPr>
      </w:pPr>
      <w:r>
        <w:rPr>
          <w:rFonts w:ascii="Calibri" w:hAnsi="Calibri"/>
          <w:color w:val="182433"/>
          <w:sz w:val="22"/>
        </w:rPr>
        <w:t>Demonstrate interruption, retry, and recovery outcomes at statement boundaries.</w:t>
      </w:r>
    </w:p>
    <w:p>
      <w:pPr>
        <w:spacing w:before="0" w:after="160" w:line="280" w:lineRule="auto"/>
        <w:numPr>
          <w:ilvl w:val="0"/>
          <w:numId w:val="10"/>
        </w:numPr>
      </w:pPr>
      <w:r>
        <w:rPr>
          <w:rFonts w:ascii="Calibri" w:hAnsi="Calibri"/>
          <w:color w:val="182433"/>
          <w:sz w:val="22"/>
        </w:rPr>
        <w:t>Produce a phased candidate plan through Gemini when deterministic findings justify it.</w:t>
      </w:r>
    </w:p>
    <w:p>
      <w:pPr>
        <w:spacing w:before="0" w:after="160" w:line="280" w:lineRule="auto"/>
        <w:numPr>
          <w:ilvl w:val="0"/>
          <w:numId w:val="10"/>
        </w:numPr>
      </w:pPr>
      <w:r>
        <w:rPr>
          <w:rFonts w:ascii="Calibri" w:hAnsi="Calibri"/>
          <w:color w:val="182433"/>
          <w:sz w:val="22"/>
        </w:rPr>
        <w:t>Verify every candidate plan from a clean baseline before displaying a positive verdict.</w:t>
      </w:r>
    </w:p>
    <w:p>
      <w:pPr>
        <w:spacing w:before="0" w:after="160" w:line="280" w:lineRule="auto"/>
        <w:numPr>
          <w:ilvl w:val="0"/>
          <w:numId w:val="10"/>
        </w:numPr>
      </w:pPr>
      <w:r>
        <w:rPr>
          <w:rFonts w:ascii="Calibri" w:hAnsi="Calibri"/>
          <w:color w:val="182433"/>
          <w:sz w:val="22"/>
        </w:rPr>
        <w:t>Produce a report suitable for technical review and a five-minute hackathon tour.</w:t>
      </w:r>
    </w:p>
    <w:p>
      <w:pPr>
        <w:pStyle w:val="Heading2"/>
      </w:pPr>
      <w:r>
        <w:rPr>
          <w:rFonts w:ascii="Calibri" w:hAnsi="Calibri"/>
          <w:color w:val="2E74B5"/>
          <w:sz w:val="26"/>
        </w:rPr>
        <w:t>4.2 Non-goals for the MVP</w:t>
      </w:r>
    </w:p>
    <w:p>
      <w:pPr>
        <w:spacing w:before="0" w:after="160" w:line="280" w:lineRule="auto"/>
        <w:numPr>
          <w:ilvl w:val="0"/>
          <w:numId w:val="10"/>
        </w:numPr>
      </w:pPr>
      <w:r>
        <w:rPr>
          <w:rFonts w:ascii="Calibri" w:hAnsi="Calibri"/>
          <w:color w:val="182433"/>
          <w:sz w:val="22"/>
        </w:rPr>
        <w:t>Connecting to, cloning, modifying, or profiling a production database.</w:t>
      </w:r>
    </w:p>
    <w:p>
      <w:pPr>
        <w:spacing w:before="0" w:after="160" w:line="280" w:lineRule="auto"/>
        <w:numPr>
          <w:ilvl w:val="0"/>
          <w:numId w:val="10"/>
        </w:numPr>
      </w:pPr>
      <w:r>
        <w:rPr>
          <w:rFonts w:ascii="Calibri" w:hAnsi="Calibri"/>
          <w:color w:val="182433"/>
          <w:sz w:val="22"/>
        </w:rPr>
        <w:t>Supporting MySQL, MariaDB, SQLite, SQL Server, CockroachDB, or MongoDB.</w:t>
      </w:r>
    </w:p>
    <w:p>
      <w:pPr>
        <w:spacing w:before="0" w:after="160" w:line="280" w:lineRule="auto"/>
        <w:numPr>
          <w:ilvl w:val="0"/>
          <w:numId w:val="10"/>
        </w:numPr>
      </w:pPr>
      <w:r>
        <w:rPr>
          <w:rFonts w:ascii="Calibri" w:hAnsi="Calibri"/>
          <w:color w:val="182433"/>
          <w:sz w:val="22"/>
        </w:rPr>
        <w:t>Proving production lock duration or throughput from small synthetic data.</w:t>
      </w:r>
    </w:p>
    <w:p>
      <w:pPr>
        <w:spacing w:before="0" w:after="160" w:line="280" w:lineRule="auto"/>
        <w:numPr>
          <w:ilvl w:val="0"/>
          <w:numId w:val="10"/>
        </w:numPr>
      </w:pPr>
      <w:r>
        <w:rPr>
          <w:rFonts w:ascii="Calibri" w:hAnsi="Calibri"/>
          <w:color w:val="182433"/>
          <w:sz w:val="22"/>
        </w:rPr>
        <w:t>Executing arbitrary PostgreSQL superuser or server-administration statements.</w:t>
      </w:r>
    </w:p>
    <w:p>
      <w:pPr>
        <w:spacing w:before="0" w:after="160" w:line="280" w:lineRule="auto"/>
        <w:numPr>
          <w:ilvl w:val="0"/>
          <w:numId w:val="10"/>
        </w:numPr>
      </w:pPr>
      <w:r>
        <w:rPr>
          <w:rFonts w:ascii="Calibri" w:hAnsi="Calibri"/>
          <w:color w:val="182433"/>
          <w:sz w:val="22"/>
        </w:rPr>
        <w:t>Automatically editing the user's repository or deploying generated SQL.</w:t>
      </w:r>
    </w:p>
    <w:p>
      <w:pPr>
        <w:spacing w:before="0" w:after="160" w:line="280" w:lineRule="auto"/>
        <w:numPr>
          <w:ilvl w:val="0"/>
          <w:numId w:val="10"/>
        </w:numPr>
      </w:pPr>
      <w:r>
        <w:rPr>
          <w:rFonts w:ascii="Calibri" w:hAnsi="Calibri"/>
          <w:color w:val="182433"/>
          <w:sz w:val="22"/>
        </w:rPr>
        <w:t>Providing a universal guarantee of safety.</w:t>
      </w:r>
    </w:p>
    <w:p>
      <w:pPr>
        <w:spacing w:before="0" w:after="160" w:line="280" w:lineRule="auto"/>
        <w:numPr>
          <w:ilvl w:val="0"/>
          <w:numId w:val="10"/>
        </w:numPr>
      </w:pPr>
      <w:r>
        <w:rPr>
          <w:rFonts w:ascii="Calibri" w:hAnsi="Calibri"/>
          <w:color w:val="182433"/>
          <w:sz w:val="22"/>
        </w:rPr>
        <w:t>Implementing Clerk accounts, teams, billing, GitHub checks, or long-term histories.</w:t>
      </w:r>
    </w:p>
    <w:p>
      <w:pPr>
        <w:spacing w:before="0" w:after="160" w:line="280" w:lineRule="auto"/>
        <w:numPr>
          <w:ilvl w:val="0"/>
          <w:numId w:val="10"/>
        </w:numPr>
      </w:pPr>
      <w:r>
        <w:rPr>
          <w:rFonts w:ascii="Calibri" w:hAnsi="Calibri"/>
          <w:color w:val="182433"/>
          <w:sz w:val="22"/>
        </w:rPr>
        <w:t>Reconstructing application behavior from source code; the legacy contract is explicit SQL.</w:t>
      </w:r>
    </w:p>
    <w:p>
      <w:pPr>
        <w:pStyle w:val="Heading2"/>
      </w:pPr>
      <w:r>
        <w:rPr>
          <w:rFonts w:ascii="Calibri" w:hAnsi="Calibri"/>
          <w:color w:val="2E74B5"/>
          <w:sz w:val="26"/>
        </w:rPr>
        <w:t>4.3 Hackathon acceptance metrics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036"/>
        <w:gridCol w:w="5324"/>
      </w:tblGrid>
      <w:tr>
        <w:trPr>
          <w:tblHeader w:val="true"/>
        </w:trPr>
        <w:tc>
          <w:tcPr>
            <w:tcW w:type="dxa" w:w="4036"/>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Metric</w:t>
            </w:r>
          </w:p>
        </w:tc>
        <w:tc>
          <w:tcPr>
            <w:tcW w:type="dxa" w:w="5324"/>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Target</w:t>
            </w:r>
          </w:p>
        </w:tc>
      </w:tr>
      <w:tr>
        <w:tc>
          <w:tcPr>
            <w:tcW w:type="dxa" w:w="4036"/>
            <w:vAlign w:val="center"/>
            <w:tcMar>
              <w:top w:w="80" w:type="dxa"/>
              <w:start w:w="120" w:type="dxa"/>
              <w:bottom w:w="80" w:type="dxa"/>
              <w:end w:w="120" w:type="dxa"/>
            </w:tcMar>
          </w:tcPr>
          <w:p>
            <w:pPr>
              <w:spacing w:before="0" w:after="40" w:line="252" w:lineRule="auto"/>
            </w:pPr>
            <w:r>
              <w:rPr>
                <w:rFonts w:ascii="Calibri" w:hAnsi="Calibri"/>
                <w:color w:val="182433"/>
                <w:sz w:val="18"/>
              </w:rPr>
              <w:t>Broad feature demonstration</w:t>
            </w:r>
          </w:p>
        </w:tc>
        <w:tc>
          <w:tcPr>
            <w:tcW w:type="dxa" w:w="5324"/>
            <w:vAlign w:val="center"/>
            <w:tcMar>
              <w:top w:w="80" w:type="dxa"/>
              <w:start w:w="120" w:type="dxa"/>
              <w:bottom w:w="80" w:type="dxa"/>
              <w:end w:w="120" w:type="dxa"/>
            </w:tcMar>
          </w:tcPr>
          <w:p>
            <w:pPr>
              <w:spacing w:before="0" w:after="40" w:line="252" w:lineRule="auto"/>
            </w:pPr>
            <w:r>
              <w:rPr>
                <w:rFonts w:ascii="Calibri" w:hAnsi="Calibri"/>
                <w:color w:val="182433"/>
                <w:sz w:val="18"/>
              </w:rPr>
              <w:t>Under 5 minutes</w:t>
            </w:r>
          </w:p>
        </w:tc>
      </w:tr>
      <w:tr>
        <w:tc>
          <w:tcPr>
            <w:tcW w:type="dxa" w:w="4036"/>
            <w:vAlign w:val="center"/>
            <w:tcMar>
              <w:top w:w="80" w:type="dxa"/>
              <w:start w:w="120" w:type="dxa"/>
              <w:bottom w:w="80" w:type="dxa"/>
              <w:end w:w="120" w:type="dxa"/>
            </w:tcMar>
          </w:tcPr>
          <w:p>
            <w:pPr>
              <w:spacing w:before="0" w:after="40" w:line="252" w:lineRule="auto"/>
            </w:pPr>
            <w:r>
              <w:rPr>
                <w:rFonts w:ascii="Calibri" w:hAnsi="Calibri"/>
                <w:color w:val="182433"/>
                <w:sz w:val="18"/>
              </w:rPr>
              <w:t>Individual deterministic simulation stage</w:t>
            </w:r>
          </w:p>
        </w:tc>
        <w:tc>
          <w:tcPr>
            <w:tcW w:type="dxa" w:w="5324"/>
            <w:vAlign w:val="center"/>
            <w:tcMar>
              <w:top w:w="80" w:type="dxa"/>
              <w:start w:w="120" w:type="dxa"/>
              <w:bottom w:w="80" w:type="dxa"/>
              <w:end w:w="120" w:type="dxa"/>
            </w:tcMar>
          </w:tcPr>
          <w:p>
            <w:pPr>
              <w:spacing w:before="0" w:after="40" w:line="252" w:lineRule="auto"/>
            </w:pPr>
            <w:r>
              <w:rPr>
                <w:rFonts w:ascii="Calibri" w:hAnsi="Calibri"/>
                <w:color w:val="182433"/>
                <w:sz w:val="18"/>
              </w:rPr>
              <w:t>Under 90 seconds at MVP limits</w:t>
            </w:r>
          </w:p>
        </w:tc>
      </w:tr>
      <w:tr>
        <w:tc>
          <w:tcPr>
            <w:tcW w:type="dxa" w:w="4036"/>
            <w:vAlign w:val="center"/>
            <w:tcMar>
              <w:top w:w="80" w:type="dxa"/>
              <w:start w:w="120" w:type="dxa"/>
              <w:bottom w:w="80" w:type="dxa"/>
              <w:end w:w="120" w:type="dxa"/>
            </w:tcMar>
          </w:tcPr>
          <w:p>
            <w:pPr>
              <w:spacing w:before="0" w:after="40" w:line="252" w:lineRule="auto"/>
            </w:pPr>
            <w:r>
              <w:rPr>
                <w:rFonts w:ascii="Calibri" w:hAnsi="Calibri"/>
                <w:color w:val="182433"/>
                <w:sz w:val="18"/>
              </w:rPr>
              <w:t>Built-in unsafe example</w:t>
            </w:r>
          </w:p>
        </w:tc>
        <w:tc>
          <w:tcPr>
            <w:tcW w:type="dxa" w:w="5324"/>
            <w:vAlign w:val="center"/>
            <w:tcMar>
              <w:top w:w="80" w:type="dxa"/>
              <w:start w:w="120" w:type="dxa"/>
              <w:bottom w:w="80" w:type="dxa"/>
              <w:end w:w="120" w:type="dxa"/>
            </w:tcMar>
          </w:tcPr>
          <w:p>
            <w:pPr>
              <w:spacing w:before="0" w:after="40" w:line="252" w:lineRule="auto"/>
            </w:pPr>
            <w:r>
              <w:rPr>
                <w:rFonts w:ascii="Calibri" w:hAnsi="Calibri"/>
                <w:color w:val="182433"/>
                <w:sz w:val="18"/>
              </w:rPr>
              <w:t>Original migration blocked; phased plan verified for review</w:t>
            </w:r>
          </w:p>
        </w:tc>
      </w:tr>
      <w:tr>
        <w:tc>
          <w:tcPr>
            <w:tcW w:type="dxa" w:w="4036"/>
            <w:vAlign w:val="center"/>
            <w:tcMar>
              <w:top w:w="80" w:type="dxa"/>
              <w:start w:w="120" w:type="dxa"/>
              <w:bottom w:w="80" w:type="dxa"/>
              <w:end w:w="120" w:type="dxa"/>
            </w:tcMar>
          </w:tcPr>
          <w:p>
            <w:pPr>
              <w:spacing w:before="0" w:after="40" w:line="252" w:lineRule="auto"/>
            </w:pPr>
            <w:r>
              <w:rPr>
                <w:rFonts w:ascii="Calibri" w:hAnsi="Calibri"/>
                <w:color w:val="182433"/>
                <w:sz w:val="18"/>
              </w:rPr>
              <w:t>Deterministic rule coverage</w:t>
            </w:r>
          </w:p>
        </w:tc>
        <w:tc>
          <w:tcPr>
            <w:tcW w:type="dxa" w:w="5324"/>
            <w:vAlign w:val="center"/>
            <w:tcMar>
              <w:top w:w="80" w:type="dxa"/>
              <w:start w:w="120" w:type="dxa"/>
              <w:bottom w:w="80" w:type="dxa"/>
              <w:end w:w="120" w:type="dxa"/>
            </w:tcMar>
          </w:tcPr>
          <w:p>
            <w:pPr>
              <w:spacing w:before="0" w:after="40" w:line="252" w:lineRule="auto"/>
            </w:pPr>
            <w:r>
              <w:rPr>
                <w:rFonts w:ascii="Calibri" w:hAnsi="Calibri"/>
                <w:color w:val="182433"/>
                <w:sz w:val="18"/>
              </w:rPr>
              <w:t>All four rule families demonstrated</w:t>
            </w:r>
          </w:p>
        </w:tc>
      </w:tr>
      <w:tr>
        <w:tc>
          <w:tcPr>
            <w:tcW w:type="dxa" w:w="4036"/>
            <w:vAlign w:val="center"/>
            <w:tcMar>
              <w:top w:w="80" w:type="dxa"/>
              <w:start w:w="120" w:type="dxa"/>
              <w:bottom w:w="80" w:type="dxa"/>
              <w:end w:w="120" w:type="dxa"/>
            </w:tcMar>
          </w:tcPr>
          <w:p>
            <w:pPr>
              <w:spacing w:before="0" w:after="40" w:line="252" w:lineRule="auto"/>
            </w:pPr>
            <w:r>
              <w:rPr>
                <w:rFonts w:ascii="Calibri" w:hAnsi="Calibri"/>
                <w:color w:val="182433"/>
                <w:sz w:val="18"/>
              </w:rPr>
              <w:t>Legacy-query evidence</w:t>
            </w:r>
          </w:p>
        </w:tc>
        <w:tc>
          <w:tcPr>
            <w:tcW w:type="dxa" w:w="5324"/>
            <w:vAlign w:val="center"/>
            <w:tcMar>
              <w:top w:w="80" w:type="dxa"/>
              <w:start w:w="120" w:type="dxa"/>
              <w:bottom w:w="80" w:type="dxa"/>
              <w:end w:w="120" w:type="dxa"/>
            </w:tcMar>
          </w:tcPr>
          <w:p>
            <w:pPr>
              <w:spacing w:before="0" w:after="40" w:line="252" w:lineRule="auto"/>
            </w:pPr>
            <w:r>
              <w:rPr>
                <w:rFonts w:ascii="Calibri" w:hAnsi="Calibri"/>
                <w:color w:val="182433"/>
                <w:sz w:val="18"/>
              </w:rPr>
              <w:t>At least two old-version queries replayed</w:t>
            </w:r>
          </w:p>
        </w:tc>
      </w:tr>
      <w:tr>
        <w:tc>
          <w:tcPr>
            <w:tcW w:type="dxa" w:w="4036"/>
            <w:vAlign w:val="center"/>
            <w:tcMar>
              <w:top w:w="80" w:type="dxa"/>
              <w:start w:w="120" w:type="dxa"/>
              <w:bottom w:w="80" w:type="dxa"/>
              <w:end w:w="120" w:type="dxa"/>
            </w:tcMar>
          </w:tcPr>
          <w:p>
            <w:pPr>
              <w:spacing w:before="0" w:after="40" w:line="252" w:lineRule="auto"/>
            </w:pPr>
            <w:r>
              <w:rPr>
                <w:rFonts w:ascii="Calibri" w:hAnsi="Calibri"/>
                <w:color w:val="182433"/>
                <w:sz w:val="18"/>
              </w:rPr>
              <w:t>Failure evidence</w:t>
            </w:r>
          </w:p>
        </w:tc>
        <w:tc>
          <w:tcPr>
            <w:tcW w:type="dxa" w:w="5324"/>
            <w:vAlign w:val="center"/>
            <w:tcMar>
              <w:top w:w="80" w:type="dxa"/>
              <w:start w:w="120" w:type="dxa"/>
              <w:bottom w:w="80" w:type="dxa"/>
              <w:end w:w="120" w:type="dxa"/>
            </w:tcMar>
          </w:tcPr>
          <w:p>
            <w:pPr>
              <w:spacing w:before="0" w:after="40" w:line="252" w:lineRule="auto"/>
            </w:pPr>
            <w:r>
              <w:rPr>
                <w:rFonts w:ascii="Calibri" w:hAnsi="Calibri"/>
                <w:color w:val="182433"/>
                <w:sz w:val="18"/>
              </w:rPr>
              <w:t>Every supported statement boundary evaluated</w:t>
            </w:r>
          </w:p>
        </w:tc>
      </w:tr>
      <w:tr>
        <w:tc>
          <w:tcPr>
            <w:tcW w:type="dxa" w:w="4036"/>
            <w:vAlign w:val="center"/>
            <w:tcMar>
              <w:top w:w="80" w:type="dxa"/>
              <w:start w:w="120" w:type="dxa"/>
              <w:bottom w:w="80" w:type="dxa"/>
              <w:end w:w="120" w:type="dxa"/>
            </w:tcMar>
          </w:tcPr>
          <w:p>
            <w:pPr>
              <w:spacing w:before="0" w:after="40" w:line="252" w:lineRule="auto"/>
            </w:pPr>
            <w:r>
              <w:rPr>
                <w:rFonts w:ascii="Calibri" w:hAnsi="Calibri"/>
                <w:color w:val="182433"/>
                <w:sz w:val="18"/>
              </w:rPr>
              <w:t>Unverified safety claims</w:t>
            </w:r>
          </w:p>
        </w:tc>
        <w:tc>
          <w:tcPr>
            <w:tcW w:type="dxa" w:w="5324"/>
            <w:vAlign w:val="center"/>
            <w:tcMar>
              <w:top w:w="80" w:type="dxa"/>
              <w:start w:w="120" w:type="dxa"/>
              <w:bottom w:w="80" w:type="dxa"/>
              <w:end w:w="120" w:type="dxa"/>
            </w:tcMar>
          </w:tcPr>
          <w:p>
            <w:pPr>
              <w:spacing w:before="0" w:after="40" w:line="252" w:lineRule="auto"/>
            </w:pPr>
            <w:r>
              <w:rPr>
                <w:rFonts w:ascii="Calibri" w:hAnsi="Calibri"/>
                <w:color w:val="182433"/>
                <w:sz w:val="18"/>
              </w:rPr>
              <w:t>Zero</w:t>
            </w:r>
          </w:p>
        </w:tc>
      </w:tr>
      <w:tr>
        <w:tc>
          <w:tcPr>
            <w:tcW w:type="dxa" w:w="4036"/>
            <w:vAlign w:val="center"/>
            <w:tcMar>
              <w:top w:w="80" w:type="dxa"/>
              <w:start w:w="120" w:type="dxa"/>
              <w:bottom w:w="80" w:type="dxa"/>
              <w:end w:w="120" w:type="dxa"/>
            </w:tcMar>
          </w:tcPr>
          <w:p>
            <w:pPr>
              <w:spacing w:before="0" w:after="40" w:line="252" w:lineRule="auto"/>
            </w:pPr>
            <w:r>
              <w:rPr>
                <w:rFonts w:ascii="Calibri" w:hAnsi="Calibri"/>
                <w:color w:val="182433"/>
                <w:sz w:val="18"/>
              </w:rPr>
              <w:t>Production connections or execution</w:t>
            </w:r>
          </w:p>
        </w:tc>
        <w:tc>
          <w:tcPr>
            <w:tcW w:type="dxa" w:w="5324"/>
            <w:vAlign w:val="center"/>
            <w:tcMar>
              <w:top w:w="80" w:type="dxa"/>
              <w:start w:w="120" w:type="dxa"/>
              <w:bottom w:w="80" w:type="dxa"/>
              <w:end w:w="120" w:type="dxa"/>
            </w:tcMar>
          </w:tcPr>
          <w:p>
            <w:pPr>
              <w:spacing w:before="0" w:after="40" w:line="252" w:lineRule="auto"/>
            </w:pPr>
            <w:r>
              <w:rPr>
                <w:rFonts w:ascii="Calibri" w:hAnsi="Calibri"/>
                <w:color w:val="182433"/>
                <w:sz w:val="18"/>
              </w:rPr>
              <w:t>Zero</w:t>
            </w:r>
          </w:p>
        </w:tc>
      </w:tr>
      <w:tr>
        <w:tc>
          <w:tcPr>
            <w:tcW w:type="dxa" w:w="4036"/>
            <w:vAlign w:val="center"/>
            <w:tcMar>
              <w:top w:w="80" w:type="dxa"/>
              <w:start w:w="120" w:type="dxa"/>
              <w:bottom w:w="80" w:type="dxa"/>
              <w:end w:w="120" w:type="dxa"/>
            </w:tcMar>
          </w:tcPr>
          <w:p>
            <w:pPr>
              <w:spacing w:before="0" w:after="40" w:line="252" w:lineRule="auto"/>
            </w:pPr>
            <w:r>
              <w:rPr>
                <w:rFonts w:ascii="Calibri" w:hAnsi="Calibri"/>
                <w:color w:val="182433"/>
                <w:sz w:val="18"/>
              </w:rPr>
              <w:t>Raw fixture values sent to Gemini</w:t>
            </w:r>
          </w:p>
        </w:tc>
        <w:tc>
          <w:tcPr>
            <w:tcW w:type="dxa" w:w="5324"/>
            <w:vAlign w:val="center"/>
            <w:tcMar>
              <w:top w:w="80" w:type="dxa"/>
              <w:start w:w="120" w:type="dxa"/>
              <w:bottom w:w="80" w:type="dxa"/>
              <w:end w:w="120" w:type="dxa"/>
            </w:tcMar>
          </w:tcPr>
          <w:p>
            <w:pPr>
              <w:spacing w:before="0" w:after="40" w:line="252" w:lineRule="auto"/>
            </w:pPr>
            <w:r>
              <w:rPr>
                <w:rFonts w:ascii="Calibri" w:hAnsi="Calibri"/>
                <w:color w:val="182433"/>
                <w:sz w:val="18"/>
              </w:rPr>
              <w:t>Zero</w:t>
            </w:r>
          </w:p>
        </w:tc>
      </w:tr>
    </w:tbl>
    <w:p>
      <w:pPr>
        <w:spacing w:after="40"/>
      </w:pPr>
    </w:p>
    <w:p>
      <w:pPr>
        <w:pStyle w:val="Heading1"/>
      </w:pPr>
      <w:r>
        <w:rPr>
          <w:rFonts w:ascii="Calibri" w:hAnsi="Calibri"/>
          <w:color w:val="2E74B5"/>
          <w:sz w:val="32"/>
        </w:rPr>
        <w:t>5. Safety language and evidence model</w:t>
      </w:r>
    </w:p>
    <w:p>
      <w:pPr>
        <w:pStyle w:val="Heading2"/>
      </w:pPr>
      <w:r>
        <w:rPr>
          <w:rFonts w:ascii="Calibri" w:hAnsi="Calibri"/>
          <w:color w:val="2E74B5"/>
          <w:sz w:val="26"/>
        </w:rPr>
        <w:t>5.1 Overall verdicts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834"/>
        <w:gridCol w:w="6526"/>
      </w:tblGrid>
      <w:tr>
        <w:trPr>
          <w:tblHeader w:val="true"/>
        </w:trPr>
        <w:tc>
          <w:tcPr>
            <w:tcW w:type="dxa" w:w="2834"/>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Verdict</w:t>
            </w:r>
          </w:p>
        </w:tc>
        <w:tc>
          <w:tcPr>
            <w:tcW w:type="dxa" w:w="6526"/>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Meaning</w:t>
            </w:r>
          </w:p>
        </w:tc>
      </w:tr>
      <w:tr>
        <w:tc>
          <w:tcPr>
            <w:tcW w:type="dxa" w:w="2834"/>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UNSAFE</w:t>
            </w:r>
          </w:p>
        </w:tc>
        <w:tc>
          <w:tcPr>
            <w:tcW w:type="dxa" w:w="6526"/>
            <w:vAlign w:val="center"/>
            <w:tcMar>
              <w:top w:w="80" w:type="dxa"/>
              <w:start w:w="120" w:type="dxa"/>
              <w:bottom w:w="80" w:type="dxa"/>
              <w:end w:w="120" w:type="dxa"/>
            </w:tcMar>
          </w:tcPr>
          <w:p>
            <w:pPr>
              <w:spacing w:before="0" w:after="40" w:line="252" w:lineRule="auto"/>
            </w:pPr>
            <w:r>
              <w:rPr>
                <w:rFonts w:ascii="Calibri" w:hAnsi="Calibri"/>
                <w:color w:val="182433"/>
                <w:sz w:val="18"/>
              </w:rPr>
              <w:t>One or more critical deterministic checks failed, or the migration caused unrecoverable loss under supplied evidence.</w:t>
            </w:r>
          </w:p>
        </w:tc>
      </w:tr>
      <w:tr>
        <w:tc>
          <w:tcPr>
            <w:tcW w:type="dxa" w:w="2834"/>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CONDITIONALLY_VERIFIED</w:t>
            </w:r>
          </w:p>
        </w:tc>
        <w:tc>
          <w:tcPr>
            <w:tcW w:type="dxa" w:w="6526"/>
            <w:vAlign w:val="center"/>
            <w:tcMar>
              <w:top w:w="80" w:type="dxa"/>
              <w:start w:w="120" w:type="dxa"/>
              <w:bottom w:w="80" w:type="dxa"/>
              <w:end w:w="120" w:type="dxa"/>
            </w:tcMar>
          </w:tcPr>
          <w:p>
            <w:pPr>
              <w:spacing w:before="0" w:after="40" w:line="252" w:lineRule="auto"/>
            </w:pPr>
            <w:r>
              <w:rPr>
                <w:rFonts w:ascii="Calibri" w:hAnsi="Calibri"/>
                <w:color w:val="182433"/>
                <w:sz w:val="18"/>
              </w:rPr>
              <w:t>Supported checks passed, but one or more required evidence dimensions were not tested or only heuristic.</w:t>
            </w:r>
          </w:p>
        </w:tc>
      </w:tr>
      <w:tr>
        <w:tc>
          <w:tcPr>
            <w:tcW w:type="dxa" w:w="2834"/>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VERIFIED_FOR_REVIEW</w:t>
            </w:r>
          </w:p>
        </w:tc>
        <w:tc>
          <w:tcPr>
            <w:tcW w:type="dxa" w:w="6526"/>
            <w:vAlign w:val="center"/>
            <w:tcMar>
              <w:top w:w="80" w:type="dxa"/>
              <w:start w:w="120" w:type="dxa"/>
              <w:bottom w:w="80" w:type="dxa"/>
              <w:end w:w="120" w:type="dxa"/>
            </w:tcMar>
          </w:tcPr>
          <w:p>
            <w:pPr>
              <w:spacing w:before="0" w:after="40" w:line="252" w:lineRule="auto"/>
            </w:pPr>
            <w:r>
              <w:rPr>
                <w:rFonts w:ascii="Calibri" w:hAnsi="Calibri"/>
                <w:color w:val="182433"/>
                <w:sz w:val="18"/>
              </w:rPr>
              <w:t>All required evidence dimensions passed on a fresh supported sandbox. Human review is still required.</w:t>
            </w:r>
          </w:p>
        </w:tc>
      </w:tr>
      <w:tr>
        <w:tc>
          <w:tcPr>
            <w:tcW w:type="dxa" w:w="2834"/>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INSUFFICIENT_EVIDENCE</w:t>
            </w:r>
          </w:p>
        </w:tc>
        <w:tc>
          <w:tcPr>
            <w:tcW w:type="dxa" w:w="6526"/>
            <w:vAlign w:val="center"/>
            <w:tcMar>
              <w:top w:w="80" w:type="dxa"/>
              <w:start w:w="120" w:type="dxa"/>
              <w:bottom w:w="80" w:type="dxa"/>
              <w:end w:w="120" w:type="dxa"/>
            </w:tcMar>
          </w:tcPr>
          <w:p>
            <w:pPr>
              <w:spacing w:before="0" w:after="40" w:line="252" w:lineRule="auto"/>
            </w:pPr>
            <w:r>
              <w:rPr>
                <w:rFonts w:ascii="Calibri" w:hAnsi="Calibri"/>
                <w:color w:val="182433"/>
                <w:sz w:val="18"/>
              </w:rPr>
              <w:t>The upload cannot reconstruct or meaningfully exercise the pre-migration state.</w:t>
            </w:r>
          </w:p>
        </w:tc>
      </w:tr>
      <w:tr>
        <w:tc>
          <w:tcPr>
            <w:tcW w:type="dxa" w:w="2834"/>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ERROR</w:t>
            </w:r>
          </w:p>
        </w:tc>
        <w:tc>
          <w:tcPr>
            <w:tcW w:type="dxa" w:w="6526"/>
            <w:vAlign w:val="center"/>
            <w:tcMar>
              <w:top w:w="80" w:type="dxa"/>
              <w:start w:w="120" w:type="dxa"/>
              <w:bottom w:w="80" w:type="dxa"/>
              <w:end w:w="120" w:type="dxa"/>
            </w:tcMar>
          </w:tcPr>
          <w:p>
            <w:pPr>
              <w:spacing w:before="0" w:after="40" w:line="252" w:lineRule="auto"/>
            </w:pPr>
            <w:r>
              <w:rPr>
                <w:rFonts w:ascii="Calibri" w:hAnsi="Calibri"/>
                <w:color w:val="182433"/>
                <w:sz w:val="18"/>
              </w:rPr>
              <w:t>The analysis failed because of invalid input, unsupported SQL, sandbox failure, timeout, or internal error.</w:t>
            </w:r>
          </w:p>
        </w:tc>
      </w:tr>
    </w:tbl>
    <w:p>
      <w:pPr>
        <w:spacing w:after="40"/>
      </w:pPr>
    </w:p>
    <w:p>
      <w:r>
        <w:rPr>
          <w:rFonts w:ascii="Consolas" w:hAnsi="Consolas"/>
          <w:color w:val="1F4D78"/>
          <w:sz w:val="21"/>
          <w:shd w:fill="EEF2F6"/>
        </w:rPr>
        <w:t>STATIC_ANALYSIS_ONLY</w:t>
      </w:r>
      <w:r>
        <w:rPr>
          <w:rFonts w:ascii="Calibri" w:hAnsi="Calibri"/>
          <w:color w:val="182433"/>
          <w:sz w:val="22"/>
        </w:rPr>
        <w:t xml:space="preserve"> is an evidence level, not an overall verdict. Static-only analyses cannot receive </w:t>
      </w:r>
      <w:r>
        <w:rPr>
          <w:rFonts w:ascii="Consolas" w:hAnsi="Consolas"/>
          <w:color w:val="1F4D78"/>
          <w:sz w:val="21"/>
          <w:shd w:fill="EEF2F6"/>
        </w:rPr>
        <w:t>VERIFIED_FOR_REVIEW</w:t>
      </w:r>
      <w:r>
        <w:rPr>
          <w:rFonts w:ascii="Calibri" w:hAnsi="Calibri"/>
          <w:color w:val="182433"/>
          <w:sz w:val="22"/>
        </w:rPr>
        <w:t>.</w:t>
      </w:r>
    </w:p>
    <w:p>
      <w:pPr>
        <w:pStyle w:val="Heading2"/>
      </w:pPr>
      <w:r>
        <w:rPr>
          <w:rFonts w:ascii="Calibri" w:hAnsi="Calibri"/>
          <w:color w:val="2E74B5"/>
          <w:sz w:val="26"/>
        </w:rPr>
        <w:t>5.2 Evidence dimensions</w:t>
      </w:r>
    </w:p>
    <w:p>
      <w:r>
        <w:rPr>
          <w:rFonts w:ascii="Calibri" w:hAnsi="Calibri"/>
          <w:color w:val="182433"/>
          <w:sz w:val="22"/>
        </w:rPr>
        <w:t xml:space="preserve">Every dimension is independently reported as </w:t>
      </w:r>
      <w:r>
        <w:rPr>
          <w:rFonts w:ascii="Consolas" w:hAnsi="Consolas"/>
          <w:color w:val="1F4D78"/>
          <w:sz w:val="21"/>
          <w:shd w:fill="EEF2F6"/>
        </w:rPr>
        <w:t>PASS</w:t>
      </w:r>
      <w:r>
        <w:rPr>
          <w:rFonts w:ascii="Calibri" w:hAnsi="Calibri"/>
          <w:color w:val="182433"/>
          <w:sz w:val="22"/>
        </w:rPr>
        <w:t xml:space="preserve">, </w:t>
      </w:r>
      <w:r>
        <w:rPr>
          <w:rFonts w:ascii="Consolas" w:hAnsi="Consolas"/>
          <w:color w:val="1F4D78"/>
          <w:sz w:val="21"/>
          <w:shd w:fill="EEF2F6"/>
        </w:rPr>
        <w:t>FAIL</w:t>
      </w:r>
      <w:r>
        <w:rPr>
          <w:rFonts w:ascii="Calibri" w:hAnsi="Calibri"/>
          <w:color w:val="182433"/>
          <w:sz w:val="22"/>
        </w:rPr>
        <w:t xml:space="preserve">, or </w:t>
      </w:r>
      <w:r>
        <w:rPr>
          <w:rFonts w:ascii="Consolas" w:hAnsi="Consolas"/>
          <w:color w:val="1F4D78"/>
          <w:sz w:val="21"/>
          <w:shd w:fill="EEF2F6"/>
        </w:rPr>
        <w:t>NOT_TESTED</w:t>
      </w:r>
      <w:r>
        <w:rPr>
          <w:rFonts w:ascii="Calibri" w:hAnsi="Calibri"/>
          <w:color w:val="182433"/>
          <w:sz w:val="22"/>
        </w:rPr>
        <w:t>:</w:t>
      </w:r>
    </w:p>
    <w:p>
      <w:pPr>
        <w:spacing w:before="0" w:after="160" w:line="280" w:lineRule="auto"/>
        <w:numPr>
          <w:ilvl w:val="0"/>
          <w:numId w:val="10"/>
        </w:numPr>
      </w:pPr>
      <w:r>
        <w:rPr>
          <w:rFonts w:ascii="Calibri" w:hAnsi="Calibri"/>
          <w:color w:val="182433"/>
          <w:sz w:val="22"/>
        </w:rPr>
        <w:t>Migration application.</w:t>
      </w:r>
    </w:p>
    <w:p>
      <w:pPr>
        <w:spacing w:before="0" w:after="160" w:line="280" w:lineRule="auto"/>
        <w:numPr>
          <w:ilvl w:val="0"/>
          <w:numId w:val="10"/>
        </w:numPr>
      </w:pPr>
      <w:r>
        <w:rPr>
          <w:rFonts w:ascii="Calibri" w:hAnsi="Calibri"/>
          <w:color w:val="182433"/>
          <w:sz w:val="22"/>
        </w:rPr>
        <w:t>Target-schema integrity.</w:t>
      </w:r>
    </w:p>
    <w:p>
      <w:pPr>
        <w:spacing w:before="0" w:after="160" w:line="280" w:lineRule="auto"/>
        <w:numPr>
          <w:ilvl w:val="0"/>
          <w:numId w:val="10"/>
        </w:numPr>
      </w:pPr>
      <w:r>
        <w:rPr>
          <w:rFonts w:ascii="Calibri" w:hAnsi="Calibri"/>
          <w:color w:val="182433"/>
          <w:sz w:val="22"/>
        </w:rPr>
        <w:t>Fixture preservation.</w:t>
      </w:r>
    </w:p>
    <w:p>
      <w:pPr>
        <w:spacing w:before="0" w:after="160" w:line="280" w:lineRule="auto"/>
        <w:numPr>
          <w:ilvl w:val="0"/>
          <w:numId w:val="10"/>
        </w:numPr>
      </w:pPr>
      <w:r>
        <w:rPr>
          <w:rFonts w:ascii="Calibri" w:hAnsi="Calibri"/>
          <w:color w:val="182433"/>
          <w:sz w:val="22"/>
        </w:rPr>
        <w:t>Legacy-query compatibility.</w:t>
      </w:r>
    </w:p>
    <w:p>
      <w:pPr>
        <w:spacing w:before="0" w:after="160" w:line="280" w:lineRule="auto"/>
        <w:numPr>
          <w:ilvl w:val="0"/>
          <w:numId w:val="10"/>
        </w:numPr>
      </w:pPr>
      <w:r>
        <w:rPr>
          <w:rFonts w:ascii="Calibri" w:hAnsi="Calibri"/>
          <w:color w:val="182433"/>
          <w:sz w:val="22"/>
        </w:rPr>
        <w:t>Interruption recovery.</w:t>
      </w:r>
    </w:p>
    <w:p>
      <w:pPr>
        <w:spacing w:before="0" w:after="160" w:line="280" w:lineRule="auto"/>
        <w:numPr>
          <w:ilvl w:val="0"/>
          <w:numId w:val="10"/>
        </w:numPr>
      </w:pPr>
      <w:r>
        <w:rPr>
          <w:rFonts w:ascii="Calibri" w:hAnsi="Calibri"/>
          <w:color w:val="182433"/>
          <w:sz w:val="22"/>
        </w:rPr>
        <w:t>Idempotent retry.</w:t>
      </w:r>
    </w:p>
    <w:p>
      <w:pPr>
        <w:spacing w:before="0" w:after="160" w:line="280" w:lineRule="auto"/>
        <w:numPr>
          <w:ilvl w:val="0"/>
          <w:numId w:val="10"/>
        </w:numPr>
      </w:pPr>
      <w:r>
        <w:rPr>
          <w:rFonts w:ascii="Calibri" w:hAnsi="Calibri"/>
          <w:color w:val="182433"/>
          <w:sz w:val="22"/>
        </w:rPr>
        <w:t>Generated-plan verification.</w:t>
      </w:r>
    </w:p>
    <w:p>
      <w:pPr>
        <w:spacing w:before="0" w:after="160" w:line="280" w:lineRule="auto"/>
        <w:numPr>
          <w:ilvl w:val="0"/>
          <w:numId w:val="10"/>
        </w:numPr>
      </w:pPr>
      <w:r>
        <w:rPr>
          <w:rFonts w:ascii="Calibri" w:hAnsi="Calibri"/>
          <w:color w:val="182433"/>
          <w:sz w:val="22"/>
        </w:rPr>
        <w:t>Lock-risk heuristic.</w:t>
      </w:r>
    </w:p>
    <w:p>
      <w:pPr>
        <w:pStyle w:val="Heading2"/>
      </w:pPr>
      <w:r>
        <w:rPr>
          <w:rFonts w:ascii="Calibri" w:hAnsi="Calibri"/>
          <w:color w:val="2E74B5"/>
          <w:sz w:val="26"/>
        </w:rPr>
        <w:t>5.3 Recovery classifications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228"/>
        <w:gridCol w:w="6132"/>
      </w:tblGrid>
      <w:tr>
        <w:trPr>
          <w:tblHeader w:val="true"/>
        </w:trPr>
        <w:tc>
          <w:tcPr>
            <w:tcW w:type="dxa" w:w="3228"/>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Classification</w:t>
            </w:r>
          </w:p>
        </w:tc>
        <w:tc>
          <w:tcPr>
            <w:tcW w:type="dxa" w:w="6132"/>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Meaning</w:t>
            </w:r>
          </w:p>
        </w:tc>
      </w:tr>
      <w:tr>
        <w:tc>
          <w:tcPr>
            <w:tcW w:type="dxa" w:w="3228"/>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FULLY_REVERSIBLE</w:t>
            </w:r>
          </w:p>
        </w:tc>
        <w:tc>
          <w:tcPr>
            <w:tcW w:type="dxa" w:w="6132"/>
            <w:vAlign w:val="center"/>
            <w:tcMar>
              <w:top w:w="80" w:type="dxa"/>
              <w:start w:w="120" w:type="dxa"/>
              <w:bottom w:w="80" w:type="dxa"/>
              <w:end w:w="120" w:type="dxa"/>
            </w:tcMar>
          </w:tcPr>
          <w:p>
            <w:pPr>
              <w:spacing w:before="0" w:after="40" w:line="252" w:lineRule="auto"/>
            </w:pPr>
            <w:r>
              <w:rPr>
                <w:rFonts w:ascii="Calibri" w:hAnsi="Calibri"/>
                <w:color w:val="182433"/>
                <w:sz w:val="18"/>
              </w:rPr>
              <w:t>Schema and original fixture data can be restored from the simulated state.</w:t>
            </w:r>
          </w:p>
        </w:tc>
      </w:tr>
      <w:tr>
        <w:tc>
          <w:tcPr>
            <w:tcW w:type="dxa" w:w="3228"/>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SCHEMA_REVERSIBLE</w:t>
            </w:r>
          </w:p>
        </w:tc>
        <w:tc>
          <w:tcPr>
            <w:tcW w:type="dxa" w:w="6132"/>
            <w:vAlign w:val="center"/>
            <w:tcMar>
              <w:top w:w="80" w:type="dxa"/>
              <w:start w:w="120" w:type="dxa"/>
              <w:bottom w:w="80" w:type="dxa"/>
              <w:end w:w="120" w:type="dxa"/>
            </w:tcMar>
          </w:tcPr>
          <w:p>
            <w:pPr>
              <w:spacing w:before="0" w:after="40" w:line="252" w:lineRule="auto"/>
            </w:pPr>
            <w:r>
              <w:rPr>
                <w:rFonts w:ascii="Calibri" w:hAnsi="Calibri"/>
                <w:color w:val="182433"/>
                <w:sz w:val="18"/>
              </w:rPr>
              <w:t>Structure can be restored but original data cannot be reconstructed.</w:t>
            </w:r>
          </w:p>
        </w:tc>
      </w:tr>
      <w:tr>
        <w:tc>
          <w:tcPr>
            <w:tcW w:type="dxa" w:w="3228"/>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FORWARD_FIX_REQUIRED</w:t>
            </w:r>
          </w:p>
        </w:tc>
        <w:tc>
          <w:tcPr>
            <w:tcW w:type="dxa" w:w="6132"/>
            <w:vAlign w:val="center"/>
            <w:tcMar>
              <w:top w:w="80" w:type="dxa"/>
              <w:start w:w="120" w:type="dxa"/>
              <w:bottom w:w="80" w:type="dxa"/>
              <w:end w:w="120" w:type="dxa"/>
            </w:tcMar>
          </w:tcPr>
          <w:p>
            <w:pPr>
              <w:spacing w:before="0" w:after="40" w:line="252" w:lineRule="auto"/>
            </w:pPr>
            <w:r>
              <w:rPr>
                <w:rFonts w:ascii="Calibri" w:hAnsi="Calibri"/>
                <w:color w:val="182433"/>
                <w:sz w:val="18"/>
              </w:rPr>
              <w:t>Reversal is unsafe; recovery requires a new forward migration.</w:t>
            </w:r>
          </w:p>
        </w:tc>
      </w:tr>
      <w:tr>
        <w:tc>
          <w:tcPr>
            <w:tcW w:type="dxa" w:w="3228"/>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EXTERNAL_RECOVERY_REQUIRED</w:t>
            </w:r>
          </w:p>
        </w:tc>
        <w:tc>
          <w:tcPr>
            <w:tcW w:type="dxa" w:w="6132"/>
            <w:vAlign w:val="center"/>
            <w:tcMar>
              <w:top w:w="80" w:type="dxa"/>
              <w:start w:w="120" w:type="dxa"/>
              <w:bottom w:w="80" w:type="dxa"/>
              <w:end w:w="120" w:type="dxa"/>
            </w:tcMar>
          </w:tcPr>
          <w:p>
            <w:pPr>
              <w:spacing w:before="0" w:after="40" w:line="252" w:lineRule="auto"/>
            </w:pPr>
            <w:r>
              <w:rPr>
                <w:rFonts w:ascii="Calibri" w:hAnsi="Calibri"/>
                <w:color w:val="182433"/>
                <w:sz w:val="18"/>
              </w:rPr>
              <w:t>Recovery depends on a backup or external source not supplied to RollbackReady.</w:t>
            </w:r>
          </w:p>
        </w:tc>
      </w:tr>
    </w:tbl>
    <w:p>
      <w:pPr>
        <w:spacing w:after="40"/>
      </w:pPr>
    </w:p>
    <w:p>
      <w:r>
        <w:rPr>
          <w:rFonts w:ascii="Calibri" w:hAnsi="Calibri"/>
          <w:color w:val="182433"/>
          <w:sz w:val="22"/>
        </w:rPr>
        <w:t xml:space="preserve">The report must never collapse </w:t>
      </w:r>
      <w:r>
        <w:rPr>
          <w:rFonts w:ascii="Consolas" w:hAnsi="Consolas"/>
          <w:color w:val="1F4D78"/>
          <w:sz w:val="21"/>
          <w:shd w:fill="EEF2F6"/>
        </w:rPr>
        <w:t>SCHEMA_REVERSIBLE</w:t>
      </w:r>
      <w:r>
        <w:rPr>
          <w:rFonts w:ascii="Calibri" w:hAnsi="Calibri"/>
          <w:color w:val="182433"/>
          <w:sz w:val="22"/>
        </w:rPr>
        <w:t xml:space="preserve"> into “rollback succeeded.”</w:t>
      </w:r>
    </w:p>
    <w:p>
      <w:pPr>
        <w:pStyle w:val="Heading1"/>
      </w:pPr>
      <w:r>
        <w:rPr>
          <w:rFonts w:ascii="Calibri" w:hAnsi="Calibri"/>
          <w:color w:val="2E74B5"/>
          <w:sz w:val="32"/>
        </w:rPr>
        <w:t>6. User experience</w:t>
      </w:r>
    </w:p>
    <w:p>
      <w:pPr>
        <w:pStyle w:val="Heading2"/>
      </w:pPr>
      <w:r>
        <w:rPr>
          <w:rFonts w:ascii="Calibri" w:hAnsi="Calibri"/>
          <w:color w:val="2E74B5"/>
          <w:sz w:val="26"/>
        </w:rPr>
        <w:t>6.1 Primary journey</w:t>
      </w:r>
    </w:p>
    <w:p>
      <w:pPr>
        <w:spacing w:before="0" w:after="160" w:line="280" w:lineRule="auto"/>
        <w:numPr>
          <w:ilvl w:val="0"/>
          <w:numId w:val="13"/>
        </w:numPr>
      </w:pPr>
      <w:r>
        <w:rPr>
          <w:rFonts w:ascii="Calibri" w:hAnsi="Calibri"/>
          <w:color w:val="182433"/>
          <w:sz w:val="22"/>
        </w:rPr>
        <w:t>The user opens RollbackReady and selects the built-in demo or uploads a project archive.</w:t>
      </w:r>
    </w:p>
    <w:p>
      <w:pPr>
        <w:spacing w:before="0" w:after="160" w:line="280" w:lineRule="auto"/>
        <w:numPr>
          <w:ilvl w:val="0"/>
          <w:numId w:val="13"/>
        </w:numPr>
      </w:pPr>
      <w:r>
        <w:rPr>
          <w:rFonts w:ascii="Calibri" w:hAnsi="Calibri"/>
          <w:color w:val="182433"/>
          <w:sz w:val="22"/>
        </w:rPr>
        <w:t>RollbackReady validates the archive and asks the user to select the candidate migration folder.</w:t>
      </w:r>
    </w:p>
    <w:p>
      <w:pPr>
        <w:spacing w:before="0" w:after="160" w:line="280" w:lineRule="auto"/>
        <w:numPr>
          <w:ilvl w:val="0"/>
          <w:numId w:val="13"/>
        </w:numPr>
      </w:pPr>
      <w:r>
        <w:rPr>
          <w:rFonts w:ascii="Calibri" w:hAnsi="Calibri"/>
          <w:color w:val="182433"/>
          <w:sz w:val="22"/>
        </w:rPr>
        <w:t>The user starts analysis and sees the evidence level and supported/unsupported checks.</w:t>
      </w:r>
    </w:p>
    <w:p>
      <w:pPr>
        <w:spacing w:before="0" w:after="160" w:line="280" w:lineRule="auto"/>
        <w:numPr>
          <w:ilvl w:val="0"/>
          <w:numId w:val="13"/>
        </w:numPr>
      </w:pPr>
      <w:r>
        <w:rPr>
          <w:rFonts w:ascii="Calibri" w:hAnsi="Calibri"/>
          <w:color w:val="182433"/>
          <w:sz w:val="22"/>
        </w:rPr>
        <w:t>The results view shows the schema comparison, risk cards, failed statements, fixture effects, and legacy-query results.</w:t>
      </w:r>
    </w:p>
    <w:p>
      <w:pPr>
        <w:spacing w:before="0" w:after="160" w:line="280" w:lineRule="auto"/>
        <w:numPr>
          <w:ilvl w:val="0"/>
          <w:numId w:val="13"/>
        </w:numPr>
      </w:pPr>
      <w:r>
        <w:rPr>
          <w:rFonts w:ascii="Calibri" w:hAnsi="Calibri"/>
          <w:color w:val="182433"/>
          <w:sz w:val="22"/>
        </w:rPr>
        <w:t>The failure lab shows each interruption point, remaining state, retry result, and recovery class.</w:t>
      </w:r>
    </w:p>
    <w:p>
      <w:pPr>
        <w:spacing w:before="0" w:after="160" w:line="280" w:lineRule="auto"/>
        <w:numPr>
          <w:ilvl w:val="0"/>
          <w:numId w:val="13"/>
        </w:numPr>
      </w:pPr>
      <w:r>
        <w:rPr>
          <w:rFonts w:ascii="Calibri" w:hAnsi="Calibri"/>
          <w:color w:val="182433"/>
          <w:sz w:val="22"/>
        </w:rPr>
        <w:t>If the migration is unsafe, the user requests a safer plan.</w:t>
      </w:r>
    </w:p>
    <w:p>
      <w:pPr>
        <w:spacing w:before="0" w:after="160" w:line="280" w:lineRule="auto"/>
        <w:numPr>
          <w:ilvl w:val="0"/>
          <w:numId w:val="13"/>
        </w:numPr>
      </w:pPr>
      <w:r>
        <w:rPr>
          <w:rFonts w:ascii="Calibri" w:hAnsi="Calibri"/>
          <w:color w:val="182433"/>
          <w:sz w:val="22"/>
        </w:rPr>
        <w:t>Gemini returns a phased plan that is visibly labeled unverified.</w:t>
      </w:r>
    </w:p>
    <w:p>
      <w:pPr>
        <w:spacing w:before="0" w:after="160" w:line="280" w:lineRule="auto"/>
        <w:numPr>
          <w:ilvl w:val="0"/>
          <w:numId w:val="13"/>
        </w:numPr>
      </w:pPr>
      <w:r>
        <w:rPr>
          <w:rFonts w:ascii="Calibri" w:hAnsi="Calibri"/>
          <w:color w:val="182433"/>
          <w:sz w:val="22"/>
        </w:rPr>
        <w:t>The user triggers verification; RollbackReady reruns the plan from a clean baseline.</w:t>
      </w:r>
    </w:p>
    <w:p>
      <w:pPr>
        <w:spacing w:before="0" w:after="160" w:line="280" w:lineRule="auto"/>
        <w:numPr>
          <w:ilvl w:val="0"/>
          <w:numId w:val="13"/>
        </w:numPr>
      </w:pPr>
      <w:r>
        <w:rPr>
          <w:rFonts w:ascii="Calibri" w:hAnsi="Calibri"/>
          <w:color w:val="182433"/>
          <w:sz w:val="22"/>
        </w:rPr>
        <w:t>The final report distinguishes the original migration from the generated plan and exposes all evidence and limitations.</w:t>
      </w:r>
    </w:p>
    <w:p>
      <w:pPr>
        <w:pStyle w:val="Heading2"/>
      </w:pPr>
      <w:r>
        <w:rPr>
          <w:rFonts w:ascii="Calibri" w:hAnsi="Calibri"/>
          <w:color w:val="2E74B5"/>
          <w:sz w:val="26"/>
        </w:rPr>
        <w:t>6.2 Compact six-stage stepper</w:t>
      </w:r>
    </w:p>
    <w:p>
      <w:r>
        <w:rPr>
          <w:rFonts w:ascii="Calibri" w:hAnsi="Calibri"/>
          <w:color w:val="182433"/>
          <w:sz w:val="22"/>
        </w:rPr>
        <w:t>The MVP uses one cohesive flow instead of six disconnected applications:</w:t>
      </w:r>
    </w:p>
    <w:p>
      <w:pPr>
        <w:spacing w:before="0" w:after="160" w:line="280" w:lineRule="auto"/>
        <w:numPr>
          <w:ilvl w:val="0"/>
          <w:numId w:val="14"/>
        </w:numPr>
      </w:pPr>
      <w:r>
        <w:rPr>
          <w:rFonts w:ascii="Calibri" w:hAnsi="Calibri"/>
          <w:b/>
          <w:color w:val="182433"/>
          <w:sz w:val="22"/>
        </w:rPr>
        <w:t>Upload</w:t>
      </w:r>
      <w:r>
        <w:rPr>
          <w:rFonts w:ascii="Calibri" w:hAnsi="Calibri"/>
          <w:color w:val="182433"/>
          <w:sz w:val="22"/>
        </w:rPr>
        <w:t xml:space="preserve"> - archive validation, candidate selection, fixture/query coverage.</w:t>
      </w:r>
    </w:p>
    <w:p>
      <w:pPr>
        <w:spacing w:before="0" w:after="160" w:line="280" w:lineRule="auto"/>
        <w:numPr>
          <w:ilvl w:val="0"/>
          <w:numId w:val="14"/>
        </w:numPr>
      </w:pPr>
      <w:r>
        <w:rPr>
          <w:rFonts w:ascii="Calibri" w:hAnsi="Calibri"/>
          <w:b/>
          <w:color w:val="182433"/>
          <w:sz w:val="22"/>
        </w:rPr>
        <w:t>Compare</w:t>
      </w:r>
      <w:r>
        <w:rPr>
          <w:rFonts w:ascii="Calibri" w:hAnsi="Calibri"/>
          <w:color w:val="182433"/>
          <w:sz w:val="22"/>
        </w:rPr>
        <w:t xml:space="preserve"> - before/after schema objects and candidate statements.</w:t>
      </w:r>
    </w:p>
    <w:p>
      <w:pPr>
        <w:spacing w:before="0" w:after="160" w:line="280" w:lineRule="auto"/>
        <w:numPr>
          <w:ilvl w:val="0"/>
          <w:numId w:val="14"/>
        </w:numPr>
      </w:pPr>
      <w:r>
        <w:rPr>
          <w:rFonts w:ascii="Calibri" w:hAnsi="Calibri"/>
          <w:b/>
          <w:color w:val="182433"/>
          <w:sz w:val="22"/>
        </w:rPr>
        <w:t>Risks</w:t>
      </w:r>
      <w:r>
        <w:rPr>
          <w:rFonts w:ascii="Calibri" w:hAnsi="Calibri"/>
          <w:color w:val="182433"/>
          <w:sz w:val="22"/>
        </w:rPr>
        <w:t xml:space="preserve"> - severity cards and deterministic findings.</w:t>
      </w:r>
    </w:p>
    <w:p>
      <w:pPr>
        <w:spacing w:before="0" w:after="160" w:line="280" w:lineRule="auto"/>
        <w:numPr>
          <w:ilvl w:val="0"/>
          <w:numId w:val="14"/>
        </w:numPr>
      </w:pPr>
      <w:r>
        <w:rPr>
          <w:rFonts w:ascii="Calibri" w:hAnsi="Calibri"/>
          <w:b/>
          <w:color w:val="182433"/>
          <w:sz w:val="22"/>
        </w:rPr>
        <w:t>Failure lab</w:t>
      </w:r>
      <w:r>
        <w:rPr>
          <w:rFonts w:ascii="Calibri" w:hAnsi="Calibri"/>
          <w:color w:val="182433"/>
          <w:sz w:val="22"/>
        </w:rPr>
        <w:t xml:space="preserve"> - statement-boundary timeline and recovery matrix.</w:t>
      </w:r>
    </w:p>
    <w:p>
      <w:pPr>
        <w:spacing w:before="0" w:after="160" w:line="280" w:lineRule="auto"/>
        <w:numPr>
          <w:ilvl w:val="0"/>
          <w:numId w:val="14"/>
        </w:numPr>
      </w:pPr>
      <w:r>
        <w:rPr>
          <w:rFonts w:ascii="Calibri" w:hAnsi="Calibri"/>
          <w:b/>
          <w:color w:val="182433"/>
          <w:sz w:val="22"/>
        </w:rPr>
        <w:t>Safer plan</w:t>
      </w:r>
      <w:r>
        <w:rPr>
          <w:rFonts w:ascii="Calibri" w:hAnsi="Calibri"/>
          <w:color w:val="182433"/>
          <w:sz w:val="22"/>
        </w:rPr>
        <w:t xml:space="preserve"> - expand, deploy, backfill, verify, and contract phases.</w:t>
      </w:r>
    </w:p>
    <w:p>
      <w:pPr>
        <w:spacing w:before="0" w:after="160" w:line="280" w:lineRule="auto"/>
        <w:numPr>
          <w:ilvl w:val="0"/>
          <w:numId w:val="14"/>
        </w:numPr>
      </w:pPr>
      <w:r>
        <w:rPr>
          <w:rFonts w:ascii="Calibri" w:hAnsi="Calibri"/>
          <w:b/>
          <w:color w:val="182433"/>
          <w:sz w:val="22"/>
        </w:rPr>
        <w:t>Evidence report</w:t>
      </w:r>
      <w:r>
        <w:rPr>
          <w:rFonts w:ascii="Calibri" w:hAnsi="Calibri"/>
          <w:color w:val="182433"/>
          <w:sz w:val="22"/>
        </w:rPr>
        <w:t xml:space="preserve"> - verdict, tested dimensions, limitations, and export-ready summary.</w:t>
      </w:r>
    </w:p>
    <w:p>
      <w:pPr>
        <w:pStyle w:val="Heading2"/>
      </w:pPr>
      <w:r>
        <w:rPr>
          <w:rFonts w:ascii="Calibri" w:hAnsi="Calibri"/>
          <w:color w:val="2E74B5"/>
          <w:sz w:val="26"/>
        </w:rPr>
        <w:t>6.3 Built-in demo</w:t>
      </w:r>
    </w:p>
    <w:p>
      <w:r>
        <w:rPr>
          <w:rFonts w:ascii="Calibri" w:hAnsi="Calibri"/>
          <w:color w:val="182433"/>
          <w:sz w:val="22"/>
        </w:rPr>
        <w:t>The judge-facing fixture contains:</w:t>
      </w:r>
    </w:p>
    <w:p>
      <w:pPr>
        <w:spacing w:before="0" w:after="160" w:line="280" w:lineRule="auto"/>
        <w:numPr>
          <w:ilvl w:val="0"/>
          <w:numId w:val="10"/>
        </w:numPr>
      </w:pPr>
      <w:r>
        <w:rPr>
          <w:rFonts w:ascii="Calibri" w:hAnsi="Calibri"/>
          <w:color w:val="182433"/>
          <w:sz w:val="22"/>
        </w:rPr>
        <w:t xml:space="preserve">A </w:t>
      </w:r>
      <w:r>
        <w:rPr>
          <w:rFonts w:ascii="Consolas" w:hAnsi="Consolas"/>
          <w:color w:val="1F4D78"/>
          <w:sz w:val="21"/>
          <w:shd w:fill="EEF2F6"/>
        </w:rPr>
        <w:t>User</w:t>
      </w:r>
      <w:r>
        <w:rPr>
          <w:rFonts w:ascii="Calibri" w:hAnsi="Calibri"/>
          <w:color w:val="182433"/>
          <w:sz w:val="22"/>
        </w:rPr>
        <w:t xml:space="preserve"> table with three rows.</w:t>
      </w:r>
    </w:p>
    <w:p>
      <w:pPr>
        <w:spacing w:before="0" w:after="160" w:line="280" w:lineRule="auto"/>
        <w:numPr>
          <w:ilvl w:val="0"/>
          <w:numId w:val="10"/>
        </w:numPr>
      </w:pPr>
      <w:r>
        <w:rPr>
          <w:rFonts w:ascii="Calibri" w:hAnsi="Calibri"/>
          <w:color w:val="182433"/>
          <w:sz w:val="22"/>
        </w:rPr>
        <w:t xml:space="preserve">A candidate migration adding </w:t>
      </w:r>
      <w:r>
        <w:rPr>
          <w:rFonts w:ascii="Consolas" w:hAnsi="Consolas"/>
          <w:color w:val="1F4D78"/>
          <w:sz w:val="21"/>
          <w:shd w:fill="EEF2F6"/>
        </w:rPr>
        <w:t>phone TEXT NOT NULL</w:t>
      </w:r>
      <w:r>
        <w:rPr>
          <w:rFonts w:ascii="Calibri" w:hAnsi="Calibri"/>
          <w:color w:val="182433"/>
          <w:sz w:val="22"/>
        </w:rPr>
        <w:t xml:space="preserve"> without a default or backfill.</w:t>
      </w:r>
    </w:p>
    <w:p>
      <w:pPr>
        <w:spacing w:before="0" w:after="160" w:line="280" w:lineRule="auto"/>
        <w:numPr>
          <w:ilvl w:val="0"/>
          <w:numId w:val="10"/>
        </w:numPr>
      </w:pPr>
      <w:r>
        <w:rPr>
          <w:rFonts w:ascii="Calibri" w:hAnsi="Calibri"/>
          <w:color w:val="182433"/>
          <w:sz w:val="22"/>
        </w:rPr>
        <w:t xml:space="preserve">An old registration query that omits </w:t>
      </w:r>
      <w:r>
        <w:rPr>
          <w:rFonts w:ascii="Consolas" w:hAnsi="Consolas"/>
          <w:color w:val="1F4D78"/>
          <w:sz w:val="21"/>
          <w:shd w:fill="EEF2F6"/>
        </w:rPr>
        <w:t>phone</w:t>
      </w:r>
      <w:r>
        <w:rPr>
          <w:rFonts w:ascii="Calibri" w:hAnsi="Calibri"/>
          <w:color w:val="182433"/>
          <w:sz w:val="22"/>
        </w:rPr>
        <w:t>.</w:t>
      </w:r>
    </w:p>
    <w:p>
      <w:pPr>
        <w:spacing w:before="0" w:after="160" w:line="280" w:lineRule="auto"/>
        <w:numPr>
          <w:ilvl w:val="0"/>
          <w:numId w:val="10"/>
        </w:numPr>
      </w:pPr>
      <w:r>
        <w:rPr>
          <w:rFonts w:ascii="Calibri" w:hAnsi="Calibri"/>
          <w:color w:val="182433"/>
          <w:sz w:val="22"/>
        </w:rPr>
        <w:t>An old profile query selecting the original columns.</w:t>
      </w:r>
    </w:p>
    <w:p>
      <w:pPr>
        <w:spacing w:before="0" w:after="160" w:line="280" w:lineRule="auto"/>
        <w:numPr>
          <w:ilvl w:val="0"/>
          <w:numId w:val="10"/>
        </w:numPr>
      </w:pPr>
      <w:r>
        <w:rPr>
          <w:rFonts w:ascii="Calibri" w:hAnsi="Calibri"/>
          <w:color w:val="182433"/>
          <w:sz w:val="22"/>
        </w:rPr>
        <w:t xml:space="preserve">A generated expand-and-contract plan that adds a nullable column, backfills deterministic fixture values, verifies zero nulls, and applies </w:t>
      </w:r>
      <w:r>
        <w:rPr>
          <w:rFonts w:ascii="Consolas" w:hAnsi="Consolas"/>
          <w:color w:val="1F4D78"/>
          <w:sz w:val="21"/>
          <w:shd w:fill="EEF2F6"/>
        </w:rPr>
        <w:t>NOT NULL</w:t>
      </w:r>
      <w:r>
        <w:rPr>
          <w:rFonts w:ascii="Calibri" w:hAnsi="Calibri"/>
          <w:color w:val="182433"/>
          <w:sz w:val="22"/>
        </w:rPr>
        <w:t xml:space="preserve"> only after compatibility is demonstrated.</w:t>
      </w:r>
    </w:p>
    <w:p>
      <w:r>
        <w:rPr>
          <w:rFonts w:ascii="Calibri" w:hAnsi="Calibri"/>
          <w:color w:val="182433"/>
          <w:sz w:val="22"/>
        </w:rPr>
        <w:t>The final demo screen must say:</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9360"/>
      </w:tblGrid>
      <w:tr>
        <w:tc>
          <w:tcPr>
            <w:tcW w:type="dxa" w:w="9360"/>
            <w:vAlign w:val="center"/>
            <w:tcMar>
              <w:top w:w="80" w:type="dxa"/>
              <w:start w:w="120" w:type="dxa"/>
              <w:bottom w:w="80" w:type="dxa"/>
              <w:end w:w="120" w:type="dxa"/>
            </w:tcMar>
            <w:shd w:fill="F7F8FA"/>
          </w:tcPr>
          <w:p>
            <w:pPr>
              <w:spacing w:before="0" w:after="0" w:line="240" w:lineRule="auto"/>
            </w:pPr>
            <w:r/>
            <w:r>
              <w:rPr>
                <w:rFonts w:ascii="Consolas" w:hAnsi="Consolas"/>
                <w:color w:val="26374A"/>
                <w:sz w:val="17"/>
              </w:rPr>
              <w:t>Original migration: UNSAFE</w:t>
            </w:r>
          </w:p>
          <w:p>
            <w:pPr>
              <w:spacing w:before="0" w:after="0" w:line="240" w:lineRule="auto"/>
            </w:pPr>
            <w:r>
              <w:rPr>
                <w:rFonts w:ascii="Consolas" w:hAnsi="Consolas"/>
                <w:color w:val="26374A"/>
                <w:sz w:val="17"/>
              </w:rPr>
              <w:t>Generated plan: VERIFIED FOR REVIEW</w:t>
            </w:r>
          </w:p>
          <w:p>
            <w:pPr>
              <w:spacing w:before="0" w:after="0" w:line="240" w:lineRule="auto"/>
            </w:pPr>
            <w:r>
              <w:rPr>
                <w:rFonts w:ascii="Consolas" w:hAnsi="Consolas"/>
                <w:color w:val="26374A"/>
                <w:sz w:val="17"/>
              </w:rPr>
              <w:t xml:space="preserve"> </w:t>
            </w:r>
          </w:p>
          <w:p>
            <w:pPr>
              <w:spacing w:before="0" w:after="0" w:line="240" w:lineRule="auto"/>
            </w:pPr>
            <w:r>
              <w:rPr>
                <w:rFonts w:ascii="Consolas" w:hAnsi="Consolas"/>
                <w:color w:val="26374A"/>
                <w:sz w:val="17"/>
              </w:rPr>
              <w:t>Data preserved: PASS</w:t>
            </w:r>
          </w:p>
          <w:p>
            <w:pPr>
              <w:spacing w:before="0" w:after="0" w:line="240" w:lineRule="auto"/>
            </w:pPr>
            <w:r>
              <w:rPr>
                <w:rFonts w:ascii="Consolas" w:hAnsi="Consolas"/>
                <w:color w:val="26374A"/>
                <w:sz w:val="17"/>
              </w:rPr>
              <w:t>Legacy queries: PASS</w:t>
            </w:r>
          </w:p>
          <w:p>
            <w:pPr>
              <w:spacing w:before="0" w:after="0" w:line="240" w:lineRule="auto"/>
            </w:pPr>
            <w:r>
              <w:rPr>
                <w:rFonts w:ascii="Consolas" w:hAnsi="Consolas"/>
                <w:color w:val="26374A"/>
                <w:sz w:val="17"/>
              </w:rPr>
              <w:t>Failure recovery: PASS</w:t>
            </w:r>
          </w:p>
          <w:p>
            <w:pPr>
              <w:spacing w:before="0" w:after="0" w:line="240" w:lineRule="auto"/>
            </w:pPr>
            <w:r>
              <w:rPr>
                <w:rFonts w:ascii="Consolas" w:hAnsi="Consolas"/>
                <w:color w:val="26374A"/>
                <w:sz w:val="17"/>
              </w:rPr>
              <w:t>Idempotent retry: PASS</w:t>
            </w:r>
          </w:p>
          <w:p>
            <w:pPr>
              <w:spacing w:before="0" w:after="0" w:line="240" w:lineRule="auto"/>
            </w:pPr>
            <w:r>
              <w:rPr>
                <w:rFonts w:ascii="Consolas" w:hAnsi="Consolas"/>
                <w:color w:val="26374A"/>
                <w:sz w:val="17"/>
              </w:rPr>
              <w:t>Production execution: NOT PERFORMED</w:t>
            </w:r>
          </w:p>
        </w:tc>
      </w:tr>
    </w:tbl>
    <w:p>
      <w:pPr>
        <w:spacing w:after="20"/>
      </w:pPr>
    </w:p>
    <w:p>
      <w:pPr>
        <w:pStyle w:val="Heading1"/>
      </w:pPr>
      <w:r>
        <w:rPr>
          <w:rFonts w:ascii="Calibri" w:hAnsi="Calibri"/>
          <w:color w:val="2E74B5"/>
          <w:sz w:val="32"/>
        </w:rPr>
        <w:t>7. Input and output contracts</w:t>
      </w:r>
    </w:p>
    <w:p>
      <w:pPr>
        <w:pStyle w:val="Heading2"/>
      </w:pPr>
      <w:r>
        <w:rPr>
          <w:rFonts w:ascii="Calibri" w:hAnsi="Calibri"/>
          <w:color w:val="2E74B5"/>
          <w:sz w:val="26"/>
        </w:rPr>
        <w:t>7.1 Project archive</w:t>
      </w:r>
    </w:p>
    <w:p>
      <w:r>
        <w:rPr>
          <w:rFonts w:ascii="Calibri" w:hAnsi="Calibri"/>
          <w:color w:val="182433"/>
          <w:sz w:val="22"/>
        </w:rPr>
        <w:t xml:space="preserve">The user uploads one </w:t>
      </w:r>
      <w:r>
        <w:rPr>
          <w:rFonts w:ascii="Consolas" w:hAnsi="Consolas"/>
          <w:color w:val="1F4D78"/>
          <w:sz w:val="21"/>
          <w:shd w:fill="EEF2F6"/>
        </w:rPr>
        <w:t>.zip</w:t>
      </w:r>
      <w:r>
        <w:rPr>
          <w:rFonts w:ascii="Calibri" w:hAnsi="Calibri"/>
          <w:color w:val="182433"/>
          <w:sz w:val="22"/>
        </w:rPr>
        <w:t xml:space="preserve"> archive. The MVP accepts at most 10 MiB compressed and 50 MiB uncompressed. Archive entries must be relative, normalized paths; symlinks, path traversal, nested archives, and duplicate normalized paths are rejected.</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9360"/>
      </w:tblGrid>
      <w:tr>
        <w:tc>
          <w:tcPr>
            <w:tcW w:type="dxa" w:w="9360"/>
            <w:vAlign w:val="center"/>
            <w:tcMar>
              <w:top w:w="80" w:type="dxa"/>
              <w:start w:w="120" w:type="dxa"/>
              <w:bottom w:w="80" w:type="dxa"/>
              <w:end w:w="120" w:type="dxa"/>
            </w:tcMar>
            <w:shd w:fill="F7F8FA"/>
          </w:tcPr>
          <w:p>
            <w:pPr>
              <w:spacing w:before="0" w:after="0" w:line="240" w:lineRule="auto"/>
            </w:pPr>
            <w:r/>
            <w:r>
              <w:rPr>
                <w:rFonts w:ascii="Consolas" w:hAnsi="Consolas"/>
                <w:color w:val="26374A"/>
                <w:sz w:val="17"/>
              </w:rPr>
              <w:t>project.zip</w:t>
            </w:r>
          </w:p>
          <w:p>
            <w:pPr>
              <w:spacing w:before="0" w:after="0" w:line="240" w:lineRule="auto"/>
            </w:pPr>
            <w:r>
              <w:rPr>
                <w:rFonts w:ascii="Consolas" w:hAnsi="Consolas"/>
                <w:color w:val="26374A"/>
                <w:sz w:val="17"/>
              </w:rPr>
              <w:t>|-- prisma/</w:t>
            </w:r>
          </w:p>
          <w:p>
            <w:pPr>
              <w:spacing w:before="0" w:after="0" w:line="240" w:lineRule="auto"/>
            </w:pPr>
            <w:r>
              <w:rPr>
                <w:rFonts w:ascii="Consolas" w:hAnsi="Consolas"/>
                <w:color w:val="26374A"/>
                <w:sz w:val="17"/>
              </w:rPr>
              <w:t>|   |-- schema.prisma</w:t>
            </w:r>
          </w:p>
          <w:p>
            <w:pPr>
              <w:spacing w:before="0" w:after="0" w:line="240" w:lineRule="auto"/>
            </w:pPr>
            <w:r>
              <w:rPr>
                <w:rFonts w:ascii="Consolas" w:hAnsi="Consolas"/>
                <w:color w:val="26374A"/>
                <w:sz w:val="17"/>
              </w:rPr>
              <w:t>|   `-- migrations/</w:t>
            </w:r>
          </w:p>
          <w:p>
            <w:pPr>
              <w:spacing w:before="0" w:after="0" w:line="240" w:lineRule="auto"/>
            </w:pPr>
            <w:r>
              <w:rPr>
                <w:rFonts w:ascii="Consolas" w:hAnsi="Consolas"/>
                <w:color w:val="26374A"/>
                <w:sz w:val="17"/>
              </w:rPr>
              <w:t>|       |-- migration_lock.toml</w:t>
            </w:r>
          </w:p>
          <w:p>
            <w:pPr>
              <w:spacing w:before="0" w:after="0" w:line="240" w:lineRule="auto"/>
            </w:pPr>
            <w:r>
              <w:rPr>
                <w:rFonts w:ascii="Consolas" w:hAnsi="Consolas"/>
                <w:color w:val="26374A"/>
                <w:sz w:val="17"/>
              </w:rPr>
              <w:t>|       |-- 20260808090000_init/</w:t>
            </w:r>
          </w:p>
          <w:p>
            <w:pPr>
              <w:spacing w:before="0" w:after="0" w:line="240" w:lineRule="auto"/>
            </w:pPr>
            <w:r>
              <w:rPr>
                <w:rFonts w:ascii="Consolas" w:hAnsi="Consolas"/>
                <w:color w:val="26374A"/>
                <w:sz w:val="17"/>
              </w:rPr>
              <w:t>|       |   `-- migration.sql</w:t>
            </w:r>
          </w:p>
          <w:p>
            <w:pPr>
              <w:spacing w:before="0" w:after="0" w:line="240" w:lineRule="auto"/>
            </w:pPr>
            <w:r>
              <w:rPr>
                <w:rFonts w:ascii="Consolas" w:hAnsi="Consolas"/>
                <w:color w:val="26374A"/>
                <w:sz w:val="17"/>
              </w:rPr>
              <w:t>|       `-- 20260809100000_add_phone/</w:t>
            </w:r>
          </w:p>
          <w:p>
            <w:pPr>
              <w:spacing w:before="0" w:after="0" w:line="240" w:lineRule="auto"/>
            </w:pPr>
            <w:r>
              <w:rPr>
                <w:rFonts w:ascii="Consolas" w:hAnsi="Consolas"/>
                <w:color w:val="26374A"/>
                <w:sz w:val="17"/>
              </w:rPr>
              <w:t>|           `-- migration.sql</w:t>
            </w:r>
          </w:p>
          <w:p>
            <w:pPr>
              <w:spacing w:before="0" w:after="0" w:line="240" w:lineRule="auto"/>
            </w:pPr>
            <w:r>
              <w:rPr>
                <w:rFonts w:ascii="Consolas" w:hAnsi="Consolas"/>
                <w:color w:val="26374A"/>
                <w:sz w:val="17"/>
              </w:rPr>
              <w:t>`-- rollbackready/</w:t>
            </w:r>
          </w:p>
          <w:p>
            <w:pPr>
              <w:spacing w:before="0" w:after="0" w:line="240" w:lineRule="auto"/>
            </w:pPr>
            <w:r>
              <w:rPr>
                <w:rFonts w:ascii="Consolas" w:hAnsi="Consolas"/>
                <w:color w:val="26374A"/>
                <w:sz w:val="17"/>
              </w:rPr>
              <w:t xml:space="preserve">    |-- seed.sql</w:t>
            </w:r>
          </w:p>
          <w:p>
            <w:pPr>
              <w:spacing w:before="0" w:after="0" w:line="240" w:lineRule="auto"/>
            </w:pPr>
            <w:r>
              <w:rPr>
                <w:rFonts w:ascii="Consolas" w:hAnsi="Consolas"/>
                <w:color w:val="26374A"/>
                <w:sz w:val="17"/>
              </w:rPr>
              <w:t xml:space="preserve">    `-- legacy-queries.json</w:t>
            </w:r>
          </w:p>
        </w:tc>
      </w:tr>
    </w:tbl>
    <w:p>
      <w:pPr>
        <w:spacing w:after="20"/>
      </w:pPr>
    </w:p>
    <w:p>
      <w:r>
        <w:rPr>
          <w:rFonts w:ascii="Calibri" w:hAnsi="Calibri"/>
          <w:color w:val="182433"/>
          <w:sz w:val="22"/>
        </w:rPr>
        <w:t xml:space="preserve">The upload form sends the selected candidate migration folder as a separate </w:t>
      </w:r>
      <w:r>
        <w:rPr>
          <w:rFonts w:ascii="Consolas" w:hAnsi="Consolas"/>
          <w:color w:val="1F4D78"/>
          <w:sz w:val="21"/>
          <w:shd w:fill="EEF2F6"/>
        </w:rPr>
        <w:t>candidate_migration</w:t>
      </w:r>
      <w:r>
        <w:rPr>
          <w:rFonts w:ascii="Calibri" w:hAnsi="Calibri"/>
          <w:color w:val="182433"/>
          <w:sz w:val="22"/>
        </w:rPr>
        <w:t xml:space="preserve"> field. Every lexicographically earlier migration is treated as prior history. A candidate whose ordering is ambiguous or whose provider does not match </w:t>
      </w:r>
      <w:r>
        <w:rPr>
          <w:rFonts w:ascii="Consolas" w:hAnsi="Consolas"/>
          <w:color w:val="1F4D78"/>
          <w:sz w:val="21"/>
          <w:shd w:fill="EEF2F6"/>
        </w:rPr>
        <w:t>migration_lock.toml</w:t>
      </w:r>
      <w:r>
        <w:rPr>
          <w:rFonts w:ascii="Calibri" w:hAnsi="Calibri"/>
          <w:color w:val="182433"/>
          <w:sz w:val="22"/>
        </w:rPr>
        <w:t xml:space="preserve"> is rejected.</w:t>
      </w:r>
    </w:p>
    <w:p>
      <w:pPr>
        <w:pStyle w:val="Heading2"/>
      </w:pPr>
      <w:r>
        <w:rPr>
          <w:rFonts w:ascii="Calibri" w:hAnsi="Calibri"/>
          <w:color w:val="2E74B5"/>
          <w:sz w:val="26"/>
        </w:rPr>
        <w:t>7.2 Verified-mode requirements</w:t>
      </w:r>
    </w:p>
    <w:p>
      <w:r>
        <w:rPr>
          <w:rFonts w:ascii="Consolas" w:hAnsi="Consolas"/>
          <w:color w:val="1F4D78"/>
          <w:sz w:val="21"/>
          <w:shd w:fill="EEF2F6"/>
        </w:rPr>
        <w:t>VERIFIED_FOR_REVIEW</w:t>
      </w:r>
      <w:r>
        <w:rPr>
          <w:rFonts w:ascii="Calibri" w:hAnsi="Calibri"/>
          <w:color w:val="182433"/>
          <w:sz w:val="22"/>
        </w:rPr>
        <w:t xml:space="preserve"> requires:</w:t>
      </w:r>
    </w:p>
    <w:p>
      <w:pPr>
        <w:spacing w:before="0" w:after="160" w:line="280" w:lineRule="auto"/>
        <w:numPr>
          <w:ilvl w:val="0"/>
          <w:numId w:val="10"/>
        </w:numPr>
      </w:pPr>
      <w:r>
        <w:rPr>
          <w:rFonts w:ascii="Calibri" w:hAnsi="Calibri"/>
          <w:color w:val="182433"/>
          <w:sz w:val="22"/>
        </w:rPr>
        <w:t xml:space="preserve">PostgreSQL provider in </w:t>
      </w:r>
      <w:r>
        <w:rPr>
          <w:rFonts w:ascii="Consolas" w:hAnsi="Consolas"/>
          <w:color w:val="1F4D78"/>
          <w:sz w:val="21"/>
          <w:shd w:fill="EEF2F6"/>
        </w:rPr>
        <w:t>schema.prisma</w:t>
      </w:r>
      <w:r>
        <w:rPr>
          <w:rFonts w:ascii="Calibri" w:hAnsi="Calibri"/>
          <w:color w:val="182433"/>
          <w:sz w:val="22"/>
        </w:rPr>
        <w:t xml:space="preserve"> and </w:t>
      </w:r>
      <w:r>
        <w:rPr>
          <w:rFonts w:ascii="Consolas" w:hAnsi="Consolas"/>
          <w:color w:val="1F4D78"/>
          <w:sz w:val="21"/>
          <w:shd w:fill="EEF2F6"/>
        </w:rPr>
        <w:t>migration_lock.toml</w:t>
      </w:r>
      <w:r>
        <w:rPr>
          <w:rFonts w:ascii="Calibri" w:hAnsi="Calibri"/>
          <w:color w:val="182433"/>
          <w:sz w:val="22"/>
        </w:rPr>
        <w:t>.</w:t>
      </w:r>
    </w:p>
    <w:p>
      <w:pPr>
        <w:spacing w:before="0" w:after="160" w:line="280" w:lineRule="auto"/>
        <w:numPr>
          <w:ilvl w:val="0"/>
          <w:numId w:val="10"/>
        </w:numPr>
      </w:pPr>
      <w:r>
        <w:rPr>
          <w:rFonts w:ascii="Calibri" w:hAnsi="Calibri"/>
          <w:color w:val="182433"/>
          <w:sz w:val="22"/>
        </w:rPr>
        <w:t>Complete prior migration history that replays successfully.</w:t>
      </w:r>
    </w:p>
    <w:p>
      <w:pPr>
        <w:spacing w:before="0" w:after="160" w:line="280" w:lineRule="auto"/>
        <w:numPr>
          <w:ilvl w:val="0"/>
          <w:numId w:val="10"/>
        </w:numPr>
      </w:pPr>
      <w:r>
        <w:rPr>
          <w:rFonts w:ascii="Calibri" w:hAnsi="Calibri"/>
          <w:color w:val="182433"/>
          <w:sz w:val="22"/>
        </w:rPr>
        <w:t xml:space="preserve">A distinct candidate </w:t>
      </w:r>
      <w:r>
        <w:rPr>
          <w:rFonts w:ascii="Consolas" w:hAnsi="Consolas"/>
          <w:color w:val="1F4D78"/>
          <w:sz w:val="21"/>
          <w:shd w:fill="EEF2F6"/>
        </w:rPr>
        <w:t>migration.sql</w:t>
      </w:r>
      <w:r>
        <w:rPr>
          <w:rFonts w:ascii="Calibri" w:hAnsi="Calibri"/>
          <w:color w:val="182433"/>
          <w:sz w:val="22"/>
        </w:rPr>
        <w:t>.</w:t>
      </w:r>
    </w:p>
    <w:p>
      <w:pPr>
        <w:spacing w:before="0" w:after="160" w:line="280" w:lineRule="auto"/>
        <w:numPr>
          <w:ilvl w:val="0"/>
          <w:numId w:val="10"/>
        </w:numPr>
      </w:pPr>
      <w:r>
        <w:rPr>
          <w:rFonts w:ascii="Calibri" w:hAnsi="Calibri"/>
          <w:color w:val="182433"/>
          <w:sz w:val="22"/>
        </w:rPr>
        <w:t xml:space="preserve">Synthetic </w:t>
      </w:r>
      <w:r>
        <w:rPr>
          <w:rFonts w:ascii="Consolas" w:hAnsi="Consolas"/>
          <w:color w:val="1F4D78"/>
          <w:sz w:val="21"/>
          <w:shd w:fill="EEF2F6"/>
        </w:rPr>
        <w:t>seed.sql</w:t>
      </w:r>
      <w:r>
        <w:rPr>
          <w:rFonts w:ascii="Calibri" w:hAnsi="Calibri"/>
          <w:color w:val="182433"/>
          <w:sz w:val="22"/>
        </w:rPr>
        <w:t xml:space="preserve"> that loads successfully.</w:t>
      </w:r>
    </w:p>
    <w:p>
      <w:pPr>
        <w:spacing w:before="0" w:after="160" w:line="280" w:lineRule="auto"/>
        <w:numPr>
          <w:ilvl w:val="0"/>
          <w:numId w:val="10"/>
        </w:numPr>
      </w:pPr>
      <w:r>
        <w:rPr>
          <w:rFonts w:ascii="Calibri" w:hAnsi="Calibri"/>
          <w:color w:val="182433"/>
          <w:sz w:val="22"/>
        </w:rPr>
        <w:t>At least one legacy query.</w:t>
      </w:r>
    </w:p>
    <w:p>
      <w:pPr>
        <w:spacing w:before="0" w:after="160" w:line="280" w:lineRule="auto"/>
        <w:numPr>
          <w:ilvl w:val="0"/>
          <w:numId w:val="10"/>
        </w:numPr>
      </w:pPr>
      <w:r>
        <w:rPr>
          <w:rFonts w:ascii="Calibri" w:hAnsi="Calibri"/>
          <w:color w:val="182433"/>
          <w:sz w:val="22"/>
        </w:rPr>
        <w:t>Candidate and generated-plan SQL entirely within the supported statement policy.</w:t>
      </w:r>
    </w:p>
    <w:p>
      <w:pPr>
        <w:spacing w:before="0" w:after="160" w:line="280" w:lineRule="auto"/>
        <w:numPr>
          <w:ilvl w:val="0"/>
          <w:numId w:val="10"/>
        </w:numPr>
      </w:pPr>
      <w:r>
        <w:rPr>
          <w:rFonts w:ascii="Calibri" w:hAnsi="Calibri"/>
          <w:color w:val="182433"/>
          <w:sz w:val="22"/>
        </w:rPr>
        <w:t>Successful fresh-sandbox verification.</w:t>
      </w:r>
    </w:p>
    <w:p>
      <w:r>
        <w:rPr>
          <w:rFonts w:ascii="Calibri" w:hAnsi="Calibri"/>
          <w:color w:val="182433"/>
          <w:sz w:val="22"/>
        </w:rPr>
        <w:t xml:space="preserve">If history, fixtures, or legacy queries are absent, RollbackReady may still produce findings, but missing dimensions become </w:t>
      </w:r>
      <w:r>
        <w:rPr>
          <w:rFonts w:ascii="Consolas" w:hAnsi="Consolas"/>
          <w:color w:val="1F4D78"/>
          <w:sz w:val="21"/>
          <w:shd w:fill="EEF2F6"/>
        </w:rPr>
        <w:t>NOT_TESTED</w:t>
      </w:r>
      <w:r>
        <w:rPr>
          <w:rFonts w:ascii="Calibri" w:hAnsi="Calibri"/>
          <w:color w:val="182433"/>
          <w:sz w:val="22"/>
        </w:rPr>
        <w:t xml:space="preserve"> and the evidence level is reduced.</w:t>
      </w:r>
    </w:p>
    <w:p>
      <w:pPr>
        <w:pStyle w:val="Heading2"/>
      </w:pPr>
      <w:r>
        <w:rPr>
          <w:rFonts w:ascii="Calibri" w:hAnsi="Calibri"/>
          <w:color w:val="2E74B5"/>
          <w:sz w:val="26"/>
        </w:rPr>
        <w:t>7.3 Legacy query contract</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9360"/>
      </w:tblGrid>
      <w:tr>
        <w:tc>
          <w:tcPr>
            <w:tcW w:type="dxa" w:w="9360"/>
            <w:vAlign w:val="center"/>
            <w:tcMar>
              <w:top w:w="80" w:type="dxa"/>
              <w:start w:w="120" w:type="dxa"/>
              <w:bottom w:w="80" w:type="dxa"/>
              <w:end w:w="120" w:type="dxa"/>
            </w:tcMar>
            <w:shd w:fill="F7F8FA"/>
          </w:tcPr>
          <w:p>
            <w:pPr>
              <w:spacing w:before="0" w:after="0" w:line="240" w:lineRule="auto"/>
            </w:pPr>
            <w:r/>
            <w:r>
              <w:rPr>
                <w:rFonts w:ascii="Consolas" w:hAnsi="Consolas"/>
                <w:color w:val="26374A"/>
                <w:sz w:val="17"/>
              </w:rPr>
              <w:t>[</w:t>
            </w:r>
          </w:p>
          <w:p>
            <w:pPr>
              <w:spacing w:before="0" w:after="0" w:line="240" w:lineRule="auto"/>
            </w:pPr>
            <w:r>
              <w:rPr>
                <w:rFonts w:ascii="Consolas" w:hAnsi="Consolas"/>
                <w:color w:val="26374A"/>
                <w:sz w:val="17"/>
              </w:rPr>
              <w:t xml:space="preserve">  {</w:t>
            </w:r>
          </w:p>
          <w:p>
            <w:pPr>
              <w:spacing w:before="0" w:after="0" w:line="240" w:lineRule="auto"/>
            </w:pPr>
            <w:r>
              <w:rPr>
                <w:rFonts w:ascii="Consolas" w:hAnsi="Consolas"/>
                <w:color w:val="26374A"/>
                <w:sz w:val="17"/>
              </w:rPr>
              <w:t xml:space="preserve">    "name": "old-user-profile-query",</w:t>
            </w:r>
          </w:p>
          <w:p>
            <w:pPr>
              <w:spacing w:before="0" w:after="0" w:line="240" w:lineRule="auto"/>
            </w:pPr>
            <w:r>
              <w:rPr>
                <w:rFonts w:ascii="Consolas" w:hAnsi="Consolas"/>
                <w:color w:val="26374A"/>
                <w:sz w:val="17"/>
              </w:rPr>
              <w:t xml:space="preserve">    "sql": "SELECT id, name, email FROM users WHERE id = 1",</w:t>
            </w:r>
          </w:p>
          <w:p>
            <w:pPr>
              <w:spacing w:before="0" w:after="0" w:line="240" w:lineRule="auto"/>
            </w:pPr>
            <w:r>
              <w:rPr>
                <w:rFonts w:ascii="Consolas" w:hAnsi="Consolas"/>
                <w:color w:val="26374A"/>
                <w:sz w:val="17"/>
              </w:rPr>
              <w:t xml:space="preserve">    "expected_outcome": "success"</w:t>
            </w:r>
          </w:p>
          <w:p>
            <w:pPr>
              <w:spacing w:before="0" w:after="0" w:line="240" w:lineRule="auto"/>
            </w:pPr>
            <w:r>
              <w:rPr>
                <w:rFonts w:ascii="Consolas" w:hAnsi="Consolas"/>
                <w:color w:val="26374A"/>
                <w:sz w:val="17"/>
              </w:rPr>
              <w:t xml:space="preserve">  },</w:t>
            </w:r>
          </w:p>
          <w:p>
            <w:pPr>
              <w:spacing w:before="0" w:after="0" w:line="240" w:lineRule="auto"/>
            </w:pPr>
            <w:r>
              <w:rPr>
                <w:rFonts w:ascii="Consolas" w:hAnsi="Consolas"/>
                <w:color w:val="26374A"/>
                <w:sz w:val="17"/>
              </w:rPr>
              <w:t xml:space="preserve">  {</w:t>
            </w:r>
          </w:p>
          <w:p>
            <w:pPr>
              <w:spacing w:before="0" w:after="0" w:line="240" w:lineRule="auto"/>
            </w:pPr>
            <w:r>
              <w:rPr>
                <w:rFonts w:ascii="Consolas" w:hAnsi="Consolas"/>
                <w:color w:val="26374A"/>
                <w:sz w:val="17"/>
              </w:rPr>
              <w:t xml:space="preserve">    "name": "old-user-registration",</w:t>
            </w:r>
          </w:p>
          <w:p>
            <w:pPr>
              <w:spacing w:before="0" w:after="0" w:line="240" w:lineRule="auto"/>
            </w:pPr>
            <w:r>
              <w:rPr>
                <w:rFonts w:ascii="Consolas" w:hAnsi="Consolas"/>
                <w:color w:val="26374A"/>
                <w:sz w:val="17"/>
              </w:rPr>
              <w:t xml:space="preserve">    "sql": "INSERT INTO users (name, email) VALUES ('Aman', 'a@example.com')",</w:t>
            </w:r>
          </w:p>
          <w:p>
            <w:pPr>
              <w:spacing w:before="0" w:after="0" w:line="240" w:lineRule="auto"/>
            </w:pPr>
            <w:r>
              <w:rPr>
                <w:rFonts w:ascii="Consolas" w:hAnsi="Consolas"/>
                <w:color w:val="26374A"/>
                <w:sz w:val="17"/>
              </w:rPr>
              <w:t xml:space="preserve">    "expected_outcome": "success",</w:t>
            </w:r>
          </w:p>
          <w:p>
            <w:pPr>
              <w:spacing w:before="0" w:after="0" w:line="240" w:lineRule="auto"/>
            </w:pPr>
            <w:r>
              <w:rPr>
                <w:rFonts w:ascii="Consolas" w:hAnsi="Consolas"/>
                <w:color w:val="26374A"/>
                <w:sz w:val="17"/>
              </w:rPr>
              <w:t xml:space="preserve">    "expected_affected_rows": 1</w:t>
            </w:r>
          </w:p>
          <w:p>
            <w:pPr>
              <w:spacing w:before="0" w:after="0" w:line="240" w:lineRule="auto"/>
            </w:pPr>
            <w:r>
              <w:rPr>
                <w:rFonts w:ascii="Consolas" w:hAnsi="Consolas"/>
                <w:color w:val="26374A"/>
                <w:sz w:val="17"/>
              </w:rPr>
              <w:t xml:space="preserve">  }</w:t>
            </w:r>
          </w:p>
          <w:p>
            <w:pPr>
              <w:spacing w:before="0" w:after="0" w:line="240" w:lineRule="auto"/>
            </w:pPr>
            <w:r>
              <w:rPr>
                <w:rFonts w:ascii="Consolas" w:hAnsi="Consolas"/>
                <w:color w:val="26374A"/>
                <w:sz w:val="17"/>
              </w:rPr>
              <w:t>]</w:t>
            </w:r>
          </w:p>
        </w:tc>
      </w:tr>
    </w:tbl>
    <w:p>
      <w:pPr>
        <w:spacing w:after="20"/>
      </w:pPr>
    </w:p>
    <w:p>
      <w:r>
        <w:rPr>
          <w:rFonts w:ascii="Calibri" w:hAnsi="Calibri"/>
          <w:color w:val="182433"/>
          <w:sz w:val="22"/>
        </w:rPr>
        <w:t xml:space="preserve">MVP limits are 20 legacy queries and one SQL statement per entry. Queries run only inside restored sandbox snapshots. The contract supports </w:t>
      </w:r>
      <w:r>
        <w:rPr>
          <w:rFonts w:ascii="Consolas" w:hAnsi="Consolas"/>
          <w:color w:val="1F4D78"/>
          <w:sz w:val="21"/>
          <w:shd w:fill="EEF2F6"/>
        </w:rPr>
        <w:t>SELECT</w:t>
      </w:r>
      <w:r>
        <w:rPr>
          <w:rFonts w:ascii="Calibri" w:hAnsi="Calibri"/>
          <w:color w:val="182433"/>
          <w:sz w:val="22"/>
        </w:rPr>
        <w:t xml:space="preserve">, </w:t>
      </w:r>
      <w:r>
        <w:rPr>
          <w:rFonts w:ascii="Consolas" w:hAnsi="Consolas"/>
          <w:color w:val="1F4D78"/>
          <w:sz w:val="21"/>
          <w:shd w:fill="EEF2F6"/>
        </w:rPr>
        <w:t>INSERT</w:t>
      </w:r>
      <w:r>
        <w:rPr>
          <w:rFonts w:ascii="Calibri" w:hAnsi="Calibri"/>
          <w:color w:val="182433"/>
          <w:sz w:val="22"/>
        </w:rPr>
        <w:t xml:space="preserve">, </w:t>
      </w:r>
      <w:r>
        <w:rPr>
          <w:rFonts w:ascii="Consolas" w:hAnsi="Consolas"/>
          <w:color w:val="1F4D78"/>
          <w:sz w:val="21"/>
          <w:shd w:fill="EEF2F6"/>
        </w:rPr>
        <w:t>UPDATE</w:t>
      </w:r>
      <w:r>
        <w:rPr>
          <w:rFonts w:ascii="Calibri" w:hAnsi="Calibri"/>
          <w:color w:val="182433"/>
          <w:sz w:val="22"/>
        </w:rPr>
        <w:t xml:space="preserve">, and </w:t>
      </w:r>
      <w:r>
        <w:rPr>
          <w:rFonts w:ascii="Consolas" w:hAnsi="Consolas"/>
          <w:color w:val="1F4D78"/>
          <w:sz w:val="21"/>
          <w:shd w:fill="EEF2F6"/>
        </w:rPr>
        <w:t>DELETE</w:t>
      </w:r>
      <w:r>
        <w:rPr>
          <w:rFonts w:ascii="Calibri" w:hAnsi="Calibri"/>
          <w:color w:val="182433"/>
          <w:sz w:val="22"/>
        </w:rPr>
        <w:t>; server-level commands and transaction-control statements are rejected.</w:t>
      </w:r>
    </w:p>
    <w:p>
      <w:pPr>
        <w:pStyle w:val="Heading2"/>
      </w:pPr>
      <w:r>
        <w:rPr>
          <w:rFonts w:ascii="Calibri" w:hAnsi="Calibri"/>
          <w:color w:val="2E74B5"/>
          <w:sz w:val="26"/>
        </w:rPr>
        <w:t>7.4 Persistent output</w:t>
      </w:r>
    </w:p>
    <w:p>
      <w:r>
        <w:rPr>
          <w:rFonts w:ascii="Calibri" w:hAnsi="Calibri"/>
          <w:color w:val="182433"/>
          <w:sz w:val="22"/>
        </w:rPr>
        <w:t>The persistent report may include:</w:t>
      </w:r>
    </w:p>
    <w:p>
      <w:pPr>
        <w:spacing w:before="0" w:after="160" w:line="280" w:lineRule="auto"/>
        <w:numPr>
          <w:ilvl w:val="0"/>
          <w:numId w:val="10"/>
        </w:numPr>
      </w:pPr>
      <w:r>
        <w:rPr>
          <w:rFonts w:ascii="Calibri" w:hAnsi="Calibri"/>
          <w:color w:val="182433"/>
          <w:sz w:val="22"/>
        </w:rPr>
        <w:t>Artifact hashes and byte counts.</w:t>
      </w:r>
    </w:p>
    <w:p>
      <w:pPr>
        <w:spacing w:before="0" w:after="160" w:line="280" w:lineRule="auto"/>
        <w:numPr>
          <w:ilvl w:val="0"/>
          <w:numId w:val="10"/>
        </w:numPr>
      </w:pPr>
      <w:r>
        <w:rPr>
          <w:rFonts w:ascii="Calibri" w:hAnsi="Calibri"/>
          <w:color w:val="182433"/>
          <w:sz w:val="22"/>
        </w:rPr>
        <w:t>Migration folder names and normalized statement shapes.</w:t>
      </w:r>
    </w:p>
    <w:p>
      <w:pPr>
        <w:spacing w:before="0" w:after="160" w:line="280" w:lineRule="auto"/>
        <w:numPr>
          <w:ilvl w:val="0"/>
          <w:numId w:val="10"/>
        </w:numPr>
      </w:pPr>
      <w:r>
        <w:rPr>
          <w:rFonts w:ascii="Calibri" w:hAnsi="Calibri"/>
          <w:color w:val="182433"/>
          <w:sz w:val="22"/>
        </w:rPr>
        <w:t>Sanitized finding excerpts.</w:t>
      </w:r>
    </w:p>
    <w:p>
      <w:pPr>
        <w:spacing w:before="0" w:after="160" w:line="280" w:lineRule="auto"/>
        <w:numPr>
          <w:ilvl w:val="0"/>
          <w:numId w:val="10"/>
        </w:numPr>
      </w:pPr>
      <w:r>
        <w:rPr>
          <w:rFonts w:ascii="Calibri" w:hAnsi="Calibri"/>
          <w:color w:val="182433"/>
          <w:sz w:val="22"/>
        </w:rPr>
        <w:t>Schema object names.</w:t>
      </w:r>
    </w:p>
    <w:p>
      <w:pPr>
        <w:spacing w:before="0" w:after="160" w:line="280" w:lineRule="auto"/>
        <w:numPr>
          <w:ilvl w:val="0"/>
          <w:numId w:val="10"/>
        </w:numPr>
      </w:pPr>
      <w:r>
        <w:rPr>
          <w:rFonts w:ascii="Calibri" w:hAnsi="Calibri"/>
          <w:color w:val="182433"/>
          <w:sz w:val="22"/>
        </w:rPr>
        <w:t>Evidence statuses and aggregate counts.</w:t>
      </w:r>
    </w:p>
    <w:p>
      <w:pPr>
        <w:spacing w:before="0" w:after="160" w:line="280" w:lineRule="auto"/>
        <w:numPr>
          <w:ilvl w:val="0"/>
          <w:numId w:val="10"/>
        </w:numPr>
      </w:pPr>
      <w:r>
        <w:rPr>
          <w:rFonts w:ascii="Calibri" w:hAnsi="Calibri"/>
          <w:color w:val="182433"/>
          <w:sz w:val="22"/>
        </w:rPr>
        <w:t>Timeline events and recovery classifications.</w:t>
      </w:r>
    </w:p>
    <w:p>
      <w:pPr>
        <w:spacing w:before="0" w:after="160" w:line="280" w:lineRule="auto"/>
        <w:numPr>
          <w:ilvl w:val="0"/>
          <w:numId w:val="10"/>
        </w:numPr>
      </w:pPr>
      <w:r>
        <w:rPr>
          <w:rFonts w:ascii="Calibri" w:hAnsi="Calibri"/>
          <w:color w:val="182433"/>
          <w:sz w:val="22"/>
        </w:rPr>
        <w:t>Generated plan SQL and its verification results.</w:t>
      </w:r>
    </w:p>
    <w:p>
      <w:pPr>
        <w:spacing w:before="0" w:after="160" w:line="280" w:lineRule="auto"/>
        <w:numPr>
          <w:ilvl w:val="0"/>
          <w:numId w:val="10"/>
        </w:numPr>
      </w:pPr>
      <w:r>
        <w:rPr>
          <w:rFonts w:ascii="Calibri" w:hAnsi="Calibri"/>
          <w:color w:val="182433"/>
          <w:sz w:val="22"/>
        </w:rPr>
        <w:t>Model identifier and prompt-template version.</w:t>
      </w:r>
    </w:p>
    <w:p>
      <w:r>
        <w:rPr>
          <w:rFonts w:ascii="Calibri" w:hAnsi="Calibri"/>
          <w:color w:val="182433"/>
          <w:sz w:val="22"/>
        </w:rPr>
        <w:t>The persistent report must not include raw uploaded files, fixture rows, production-looking literals, database credentials, or unsanitized model prompts.</w:t>
      </w:r>
    </w:p>
    <w:p>
      <w:pPr>
        <w:pStyle w:val="Heading1"/>
      </w:pPr>
      <w:r>
        <w:rPr>
          <w:rFonts w:ascii="Calibri" w:hAnsi="Calibri"/>
          <w:color w:val="2E74B5"/>
          <w:sz w:val="32"/>
        </w:rPr>
        <w:t>8. Functional requirements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00"/>
        <w:gridCol w:w="4278"/>
        <w:gridCol w:w="4182"/>
      </w:tblGrid>
      <w:tr>
        <w:trPr>
          <w:tblHeader w:val="true"/>
        </w:trPr>
        <w:tc>
          <w:tcPr>
            <w:tcW w:type="dxa" w:w="900"/>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ID</w:t>
            </w:r>
          </w:p>
        </w:tc>
        <w:tc>
          <w:tcPr>
            <w:tcW w:type="dxa" w:w="4278"/>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Requirement</w:t>
            </w:r>
          </w:p>
        </w:tc>
        <w:tc>
          <w:tcPr>
            <w:tcW w:type="dxa" w:w="4182"/>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MVP acceptance</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FR-01</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Validate and stage a Prisma project archive.</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Valid demo archive accepted; traversal, oversize, and provider mismatch rejected.</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FR-02</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Reconstruct the pre-candidate schema from prior migration history.</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Prior migrations replay in order on a fresh PostgreSQL 18 sandbox.</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FR-03</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Load synthetic fixtures.</w:t>
            </w:r>
          </w:p>
        </w:tc>
        <w:tc>
          <w:tcPr>
            <w:tcW w:type="dxa" w:w="4182"/>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seed.sql</w:t>
            </w:r>
            <w:r>
              <w:rPr>
                <w:rFonts w:ascii="Calibri" w:hAnsi="Calibri"/>
                <w:color w:val="182433"/>
                <w:sz w:val="18"/>
              </w:rPr>
              <w:t xml:space="preserve"> succeeds within limits and fixture counts are recorded without persisting values.</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FR-04</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Parse and classify candidate SQL.</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Supported statements are split deterministically and assigned risk findings.</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FR-05</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Execute the candidate normally.</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Application status, errors, schema diff, and fixture counts are recorded.</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FR-06</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Replay the legacy query contract.</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Every query produces pass/fail, sanitized error, duration, and affected-row metadata.</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FR-07</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Inject failures at statement boundaries.</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Baseline is restored for each boundary and remaining state is captured.</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FR-08</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Test retry behavior.</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Retry outcome is reported as successful, idempotent, duplicate/conflicting, or unsupported.</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FR-09</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Classify recovery.</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Every destructive or partial scenario receives one recovery classification.</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FR-10</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Generate a safer plan.</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Gemini output validates against the RecoveryPlan schema or deterministic fallback is used.</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FR-11</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Verify the plan.</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Plan is blocked until a clean-sandbox run finishes; positive verdict requires all mandatory dimensions.</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FR-12</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Produce an evidence report.</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Report distinguishes rules, execution evidence, heuristics, untested dimensions, and limitations.</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FR-13</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Delete raw artifacts.</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Temporary files and PostgreSQL data directory are removed after the lifecycle or timeout.</w:t>
            </w:r>
          </w:p>
        </w:tc>
      </w:tr>
      <w:tr>
        <w:tc>
          <w:tcPr>
            <w:tcW w:type="dxa" w:w="900"/>
            <w:vAlign w:val="center"/>
            <w:tcMar>
              <w:top w:w="80" w:type="dxa"/>
              <w:start w:w="120" w:type="dxa"/>
              <w:bottom w:w="80" w:type="dxa"/>
              <w:end w:w="120" w:type="dxa"/>
            </w:tcMar>
          </w:tcPr>
          <w:p>
            <w:pPr>
              <w:spacing w:before="0" w:after="40" w:line="252" w:lineRule="auto"/>
            </w:pPr>
            <w:r>
              <w:rPr>
                <w:rFonts w:ascii="Calibri" w:hAnsi="Calibri"/>
                <w:color w:val="182433"/>
                <w:sz w:val="18"/>
              </w:rPr>
              <w:t>FR-14</w:t>
            </w:r>
          </w:p>
        </w:tc>
        <w:tc>
          <w:tcPr>
            <w:tcW w:type="dxa" w:w="4278"/>
            <w:vAlign w:val="center"/>
            <w:tcMar>
              <w:top w:w="80" w:type="dxa"/>
              <w:start w:w="120" w:type="dxa"/>
              <w:bottom w:w="80" w:type="dxa"/>
              <w:end w:w="120" w:type="dxa"/>
            </w:tcMar>
          </w:tcPr>
          <w:p>
            <w:pPr>
              <w:spacing w:before="0" w:after="40" w:line="252" w:lineRule="auto"/>
            </w:pPr>
            <w:r>
              <w:rPr>
                <w:rFonts w:ascii="Calibri" w:hAnsi="Calibri"/>
                <w:color w:val="182433"/>
                <w:sz w:val="18"/>
              </w:rPr>
              <w:t>Provide the built-in demo.</w:t>
            </w:r>
          </w:p>
        </w:tc>
        <w:tc>
          <w:tcPr>
            <w:tcW w:type="dxa" w:w="4182"/>
            <w:vAlign w:val="center"/>
            <w:tcMar>
              <w:top w:w="80" w:type="dxa"/>
              <w:start w:w="120" w:type="dxa"/>
              <w:bottom w:w="80" w:type="dxa"/>
              <w:end w:w="120" w:type="dxa"/>
            </w:tcMar>
          </w:tcPr>
          <w:p>
            <w:pPr>
              <w:spacing w:before="0" w:after="40" w:line="252" w:lineRule="auto"/>
            </w:pPr>
            <w:r>
              <w:rPr>
                <w:rFonts w:ascii="Calibri" w:hAnsi="Calibri"/>
                <w:color w:val="182433"/>
                <w:sz w:val="18"/>
              </w:rPr>
              <w:t>Demo can be loaded without user files and completes the full flow.</w:t>
            </w:r>
          </w:p>
        </w:tc>
      </w:tr>
    </w:tbl>
    <w:p>
      <w:pPr>
        <w:spacing w:after="40"/>
      </w:pPr>
    </w:p>
    <w:p>
      <w:pPr>
        <w:pStyle w:val="Heading1"/>
      </w:pPr>
      <w:r>
        <w:rPr>
          <w:rFonts w:ascii="Calibri" w:hAnsi="Calibri"/>
          <w:color w:val="2E74B5"/>
          <w:sz w:val="32"/>
        </w:rPr>
        <w:t>9. Deterministic risk engine</w:t>
      </w:r>
    </w:p>
    <w:p>
      <w:pPr>
        <w:pStyle w:val="Heading2"/>
      </w:pPr>
      <w:r>
        <w:rPr>
          <w:rFonts w:ascii="Calibri" w:hAnsi="Calibri"/>
          <w:color w:val="2E74B5"/>
          <w:sz w:val="26"/>
        </w:rPr>
        <w:t>9.1 Rule family A: destructive and data-loss operations</w:t>
      </w:r>
    </w:p>
    <w:p>
      <w:r>
        <w:rPr>
          <w:rFonts w:ascii="Calibri" w:hAnsi="Calibri"/>
          <w:color w:val="182433"/>
          <w:sz w:val="22"/>
        </w:rPr>
        <w:t>Flag at minimum:</w:t>
      </w:r>
    </w:p>
    <w:p>
      <w:pPr>
        <w:spacing w:before="0" w:after="160" w:line="280" w:lineRule="auto"/>
        <w:numPr>
          <w:ilvl w:val="0"/>
          <w:numId w:val="10"/>
        </w:numPr>
      </w:pPr>
      <w:r>
        <w:rPr>
          <w:rFonts w:ascii="Consolas" w:hAnsi="Consolas"/>
          <w:color w:val="1F4D78"/>
          <w:sz w:val="21"/>
          <w:shd w:fill="EEF2F6"/>
        </w:rPr>
        <w:t>DROP TABLE</w:t>
      </w:r>
      <w:r>
        <w:rPr>
          <w:rFonts w:ascii="Calibri" w:hAnsi="Calibri"/>
          <w:color w:val="182433"/>
          <w:sz w:val="22"/>
        </w:rPr>
        <w:t xml:space="preserve">, </w:t>
      </w:r>
      <w:r>
        <w:rPr>
          <w:rFonts w:ascii="Consolas" w:hAnsi="Consolas"/>
          <w:color w:val="1F4D78"/>
          <w:sz w:val="21"/>
          <w:shd w:fill="EEF2F6"/>
        </w:rPr>
        <w:t>DROP COLUMN</w:t>
      </w:r>
      <w:r>
        <w:rPr>
          <w:rFonts w:ascii="Calibri" w:hAnsi="Calibri"/>
          <w:color w:val="182433"/>
          <w:sz w:val="22"/>
        </w:rPr>
        <w:t xml:space="preserve">, and </w:t>
      </w:r>
      <w:r>
        <w:rPr>
          <w:rFonts w:ascii="Consolas" w:hAnsi="Consolas"/>
          <w:color w:val="1F4D78"/>
          <w:sz w:val="21"/>
          <w:shd w:fill="EEF2F6"/>
        </w:rPr>
        <w:t>TRUNCATE</w:t>
      </w:r>
      <w:r>
        <w:rPr>
          <w:rFonts w:ascii="Calibri" w:hAnsi="Calibri"/>
          <w:color w:val="182433"/>
          <w:sz w:val="22"/>
        </w:rPr>
        <w:t>.</w:t>
      </w:r>
    </w:p>
    <w:p>
      <w:pPr>
        <w:spacing w:before="0" w:after="160" w:line="280" w:lineRule="auto"/>
        <w:numPr>
          <w:ilvl w:val="0"/>
          <w:numId w:val="10"/>
        </w:numPr>
      </w:pPr>
      <w:r>
        <w:rPr>
          <w:rFonts w:ascii="Calibri" w:hAnsi="Calibri"/>
          <w:color w:val="182433"/>
          <w:sz w:val="22"/>
        </w:rPr>
        <w:t>Type narrowing or lossy casts.</w:t>
      </w:r>
    </w:p>
    <w:p>
      <w:pPr>
        <w:spacing w:before="0" w:after="160" w:line="280" w:lineRule="auto"/>
        <w:numPr>
          <w:ilvl w:val="0"/>
          <w:numId w:val="10"/>
        </w:numPr>
      </w:pPr>
      <w:r>
        <w:rPr>
          <w:rFonts w:ascii="Calibri" w:hAnsi="Calibri"/>
          <w:color w:val="182433"/>
          <w:sz w:val="22"/>
        </w:rPr>
        <w:t>Enum-value removal.</w:t>
      </w:r>
    </w:p>
    <w:p>
      <w:pPr>
        <w:spacing w:before="0" w:after="160" w:line="280" w:lineRule="auto"/>
        <w:numPr>
          <w:ilvl w:val="0"/>
          <w:numId w:val="10"/>
        </w:numPr>
      </w:pPr>
      <w:r>
        <w:rPr>
          <w:rFonts w:ascii="Calibri" w:hAnsi="Calibri"/>
          <w:color w:val="182433"/>
          <w:sz w:val="22"/>
        </w:rPr>
        <w:t>Replacement patterns that drop an old column before data copy.</w:t>
      </w:r>
    </w:p>
    <w:p>
      <w:pPr>
        <w:spacing w:before="0" w:after="160" w:line="280" w:lineRule="auto"/>
        <w:numPr>
          <w:ilvl w:val="0"/>
          <w:numId w:val="10"/>
        </w:numPr>
      </w:pPr>
      <w:r>
        <w:rPr>
          <w:rFonts w:ascii="Calibri" w:hAnsi="Calibri"/>
          <w:color w:val="182433"/>
          <w:sz w:val="22"/>
        </w:rPr>
        <w:t>Immediate rename/drop patterns that remove the old contract.</w:t>
      </w:r>
    </w:p>
    <w:p>
      <w:r>
        <w:rPr>
          <w:rFonts w:ascii="Calibri" w:hAnsi="Calibri"/>
          <w:color w:val="182433"/>
          <w:sz w:val="22"/>
        </w:rPr>
        <w:t>The finding records severity, category, statement index, normalized SQL shape, affected object, reason, evidence source, and remediation hint.</w:t>
      </w:r>
    </w:p>
    <w:p>
      <w:pPr>
        <w:pStyle w:val="Heading2"/>
      </w:pPr>
      <w:r>
        <w:rPr>
          <w:rFonts w:ascii="Calibri" w:hAnsi="Calibri"/>
          <w:color w:val="2E74B5"/>
          <w:sz w:val="26"/>
        </w:rPr>
        <w:t>9.2 Rule family B: constraints against existing data</w:t>
      </w:r>
    </w:p>
    <w:p>
      <w:r>
        <w:rPr>
          <w:rFonts w:ascii="Calibri" w:hAnsi="Calibri"/>
          <w:color w:val="182433"/>
          <w:sz w:val="22"/>
        </w:rPr>
        <w:t>Flag and test:</w:t>
      </w:r>
    </w:p>
    <w:p>
      <w:pPr>
        <w:spacing w:before="0" w:after="160" w:line="280" w:lineRule="auto"/>
        <w:numPr>
          <w:ilvl w:val="0"/>
          <w:numId w:val="10"/>
        </w:numPr>
      </w:pPr>
      <w:r>
        <w:rPr>
          <w:rFonts w:ascii="Calibri" w:hAnsi="Calibri"/>
          <w:color w:val="182433"/>
          <w:sz w:val="22"/>
        </w:rPr>
        <w:t>Non-null columns added without a default/backfill.</w:t>
      </w:r>
    </w:p>
    <w:p>
      <w:pPr>
        <w:spacing w:before="0" w:after="160" w:line="280" w:lineRule="auto"/>
        <w:numPr>
          <w:ilvl w:val="0"/>
          <w:numId w:val="10"/>
        </w:numPr>
      </w:pPr>
      <w:r>
        <w:rPr>
          <w:rFonts w:ascii="Calibri" w:hAnsi="Calibri"/>
          <w:color w:val="182433"/>
          <w:sz w:val="22"/>
        </w:rPr>
        <w:t>Nullable columns changed to non-null.</w:t>
      </w:r>
    </w:p>
    <w:p>
      <w:pPr>
        <w:spacing w:before="0" w:after="160" w:line="280" w:lineRule="auto"/>
        <w:numPr>
          <w:ilvl w:val="0"/>
          <w:numId w:val="10"/>
        </w:numPr>
      </w:pPr>
      <w:r>
        <w:rPr>
          <w:rFonts w:ascii="Calibri" w:hAnsi="Calibri"/>
          <w:color w:val="182433"/>
          <w:sz w:val="22"/>
        </w:rPr>
        <w:t>Unique indexes or constraints when duplicates exist.</w:t>
      </w:r>
    </w:p>
    <w:p>
      <w:pPr>
        <w:spacing w:before="0" w:after="160" w:line="280" w:lineRule="auto"/>
        <w:numPr>
          <w:ilvl w:val="0"/>
          <w:numId w:val="10"/>
        </w:numPr>
      </w:pPr>
      <w:r>
        <w:rPr>
          <w:rFonts w:ascii="Calibri" w:hAnsi="Calibri"/>
          <w:color w:val="182433"/>
          <w:sz w:val="22"/>
        </w:rPr>
        <w:t>Check constraints violated by fixture rows.</w:t>
      </w:r>
    </w:p>
    <w:p>
      <w:pPr>
        <w:spacing w:before="0" w:after="160" w:line="280" w:lineRule="auto"/>
        <w:numPr>
          <w:ilvl w:val="0"/>
          <w:numId w:val="10"/>
        </w:numPr>
      </w:pPr>
      <w:r>
        <w:rPr>
          <w:rFonts w:ascii="Calibri" w:hAnsi="Calibri"/>
          <w:color w:val="182433"/>
          <w:sz w:val="22"/>
        </w:rPr>
        <w:t>Foreign keys whose referenced rows are absent.</w:t>
      </w:r>
    </w:p>
    <w:p>
      <w:r>
        <w:rPr>
          <w:rFonts w:ascii="Calibri" w:hAnsi="Calibri"/>
          <w:color w:val="182433"/>
          <w:sz w:val="22"/>
        </w:rPr>
        <w:t>Static findings are warnings until fixture execution confirms or disproves them. The report must identify which conclusion came from SQL shape and which came from data execution.</w:t>
      </w:r>
    </w:p>
    <w:p>
      <w:pPr>
        <w:pStyle w:val="Heading2"/>
      </w:pPr>
      <w:r>
        <w:rPr>
          <w:rFonts w:ascii="Calibri" w:hAnsi="Calibri"/>
          <w:color w:val="2E74B5"/>
          <w:sz w:val="26"/>
        </w:rPr>
        <w:t>9.3 Rule family C: backward compatibility</w:t>
      </w:r>
    </w:p>
    <w:p>
      <w:r>
        <w:rPr>
          <w:rFonts w:ascii="Calibri" w:hAnsi="Calibri"/>
          <w:color w:val="182433"/>
          <w:sz w:val="22"/>
        </w:rPr>
        <w:t xml:space="preserve">Detect renamed, dropped, newly required, or type-incompatible objects referenced by legacy queries. Deterministic execution after migration is authoritative for the supplied contract. A legacy query failure prevents </w:t>
      </w:r>
      <w:r>
        <w:rPr>
          <w:rFonts w:ascii="Consolas" w:hAnsi="Consolas"/>
          <w:color w:val="1F4D78"/>
          <w:sz w:val="21"/>
          <w:shd w:fill="EEF2F6"/>
        </w:rPr>
        <w:t>VERIFIED_FOR_REVIEW</w:t>
      </w:r>
      <w:r>
        <w:rPr>
          <w:rFonts w:ascii="Calibri" w:hAnsi="Calibri"/>
          <w:color w:val="182433"/>
          <w:sz w:val="22"/>
        </w:rPr>
        <w:t>.</w:t>
      </w:r>
    </w:p>
    <w:p>
      <w:pPr>
        <w:pStyle w:val="Heading2"/>
      </w:pPr>
      <w:r>
        <w:rPr>
          <w:rFonts w:ascii="Calibri" w:hAnsi="Calibri"/>
          <w:color w:val="2E74B5"/>
          <w:sz w:val="26"/>
        </w:rPr>
        <w:t>9.4 Rule family D: partial execution and idempotency</w:t>
      </w:r>
    </w:p>
    <w:p>
      <w:r>
        <w:rPr>
          <w:rFonts w:ascii="Calibri" w:hAnsi="Calibri"/>
          <w:color w:val="182433"/>
          <w:sz w:val="22"/>
        </w:rPr>
        <w:t xml:space="preserve">For a migration with </w:t>
      </w:r>
      <w:r>
        <w:rPr>
          <w:rFonts w:ascii="Consolas" w:hAnsi="Consolas"/>
          <w:color w:val="1F4D78"/>
          <w:sz w:val="21"/>
          <w:shd w:fill="EEF2F6"/>
        </w:rPr>
        <w:t>N</w:t>
      </w:r>
      <w:r>
        <w:rPr>
          <w:rFonts w:ascii="Calibri" w:hAnsi="Calibri"/>
          <w:color w:val="182433"/>
          <w:sz w:val="22"/>
        </w:rPr>
        <w:t xml:space="preserve"> supported statements, run clean experiments for failure before statement 1 and after each statement through </w:t>
      </w:r>
      <w:r>
        <w:rPr>
          <w:rFonts w:ascii="Consolas" w:hAnsi="Consolas"/>
          <w:color w:val="1F4D78"/>
          <w:sz w:val="21"/>
          <w:shd w:fill="EEF2F6"/>
        </w:rPr>
        <w:t>N - 1</w:t>
      </w:r>
      <w:r>
        <w:rPr>
          <w:rFonts w:ascii="Calibri" w:hAnsi="Calibri"/>
          <w:color w:val="182433"/>
          <w:sz w:val="22"/>
        </w:rPr>
        <w:t>. For each experiment:</w:t>
      </w:r>
    </w:p>
    <w:p>
      <w:pPr>
        <w:spacing w:before="0" w:after="160" w:line="280" w:lineRule="auto"/>
        <w:numPr>
          <w:ilvl w:val="0"/>
          <w:numId w:val="15"/>
        </w:numPr>
      </w:pPr>
      <w:r>
        <w:rPr>
          <w:rFonts w:ascii="Calibri" w:hAnsi="Calibri"/>
          <w:color w:val="182433"/>
          <w:sz w:val="22"/>
        </w:rPr>
        <w:t>Restore the pre-migration snapshot.</w:t>
      </w:r>
    </w:p>
    <w:p>
      <w:pPr>
        <w:spacing w:before="0" w:after="160" w:line="280" w:lineRule="auto"/>
        <w:numPr>
          <w:ilvl w:val="0"/>
          <w:numId w:val="15"/>
        </w:numPr>
      </w:pPr>
      <w:r>
        <w:rPr>
          <w:rFonts w:ascii="Calibri" w:hAnsi="Calibri"/>
          <w:color w:val="182433"/>
          <w:sz w:val="22"/>
        </w:rPr>
        <w:t>Execute statements through the selected boundary.</w:t>
      </w:r>
    </w:p>
    <w:p>
      <w:pPr>
        <w:spacing w:before="0" w:after="160" w:line="280" w:lineRule="auto"/>
        <w:numPr>
          <w:ilvl w:val="0"/>
          <w:numId w:val="15"/>
        </w:numPr>
      </w:pPr>
      <w:r>
        <w:rPr>
          <w:rFonts w:ascii="Calibri" w:hAnsi="Calibri"/>
          <w:color w:val="182433"/>
          <w:sz w:val="22"/>
        </w:rPr>
        <w:t>Close the client connection to model interruption.</w:t>
      </w:r>
    </w:p>
    <w:p>
      <w:pPr>
        <w:spacing w:before="0" w:after="160" w:line="280" w:lineRule="auto"/>
        <w:numPr>
          <w:ilvl w:val="0"/>
          <w:numId w:val="15"/>
        </w:numPr>
      </w:pPr>
      <w:r>
        <w:rPr>
          <w:rFonts w:ascii="Calibri" w:hAnsi="Calibri"/>
          <w:color w:val="182433"/>
          <w:sz w:val="22"/>
        </w:rPr>
        <w:t>Capture schema and fixture-count state.</w:t>
      </w:r>
    </w:p>
    <w:p>
      <w:pPr>
        <w:spacing w:before="0" w:after="160" w:line="280" w:lineRule="auto"/>
        <w:numPr>
          <w:ilvl w:val="0"/>
          <w:numId w:val="15"/>
        </w:numPr>
      </w:pPr>
      <w:r>
        <w:rPr>
          <w:rFonts w:ascii="Calibri" w:hAnsi="Calibri"/>
          <w:color w:val="182433"/>
          <w:sz w:val="22"/>
        </w:rPr>
        <w:t>Retry the candidate according to the MVP retry strategy.</w:t>
      </w:r>
    </w:p>
    <w:p>
      <w:pPr>
        <w:spacing w:before="0" w:after="160" w:line="280" w:lineRule="auto"/>
        <w:numPr>
          <w:ilvl w:val="0"/>
          <w:numId w:val="15"/>
        </w:numPr>
      </w:pPr>
      <w:r>
        <w:rPr>
          <w:rFonts w:ascii="Calibri" w:hAnsi="Calibri"/>
          <w:color w:val="182433"/>
          <w:sz w:val="22"/>
        </w:rPr>
        <w:t>Capture the retry error or end state.</w:t>
      </w:r>
    </w:p>
    <w:p>
      <w:pPr>
        <w:spacing w:before="0" w:after="160" w:line="280" w:lineRule="auto"/>
        <w:numPr>
          <w:ilvl w:val="0"/>
          <w:numId w:val="15"/>
        </w:numPr>
      </w:pPr>
      <w:r>
        <w:rPr>
          <w:rFonts w:ascii="Calibri" w:hAnsi="Calibri"/>
          <w:color w:val="182433"/>
          <w:sz w:val="22"/>
        </w:rPr>
        <w:t>Compare against the expected target schema.</w:t>
      </w:r>
    </w:p>
    <w:p>
      <w:pPr>
        <w:spacing w:before="0" w:after="160" w:line="280" w:lineRule="auto"/>
        <w:numPr>
          <w:ilvl w:val="0"/>
          <w:numId w:val="15"/>
        </w:numPr>
      </w:pPr>
      <w:r>
        <w:rPr>
          <w:rFonts w:ascii="Calibri" w:hAnsi="Calibri"/>
          <w:color w:val="182433"/>
          <w:sz w:val="22"/>
        </w:rPr>
        <w:t>Assign recovery and idempotency classifications.</w:t>
      </w:r>
    </w:p>
    <w:p>
      <w:r>
        <w:rPr>
          <w:rFonts w:ascii="Calibri" w:hAnsi="Calibri"/>
          <w:color w:val="182433"/>
          <w:sz w:val="22"/>
        </w:rPr>
        <w:t xml:space="preserve">Explicit </w:t>
      </w:r>
      <w:r>
        <w:rPr>
          <w:rFonts w:ascii="Consolas" w:hAnsi="Consolas"/>
          <w:color w:val="1F4D78"/>
          <w:sz w:val="21"/>
          <w:shd w:fill="EEF2F6"/>
        </w:rPr>
        <w:t>BEGIN</w:t>
      </w:r>
      <w:r>
        <w:rPr>
          <w:rFonts w:ascii="Calibri" w:hAnsi="Calibri"/>
          <w:color w:val="182433"/>
          <w:sz w:val="22"/>
        </w:rPr>
        <w:t>/</w:t>
      </w:r>
      <w:r>
        <w:rPr>
          <w:rFonts w:ascii="Consolas" w:hAnsi="Consolas"/>
          <w:color w:val="1F4D78"/>
          <w:sz w:val="21"/>
          <w:shd w:fill="EEF2F6"/>
        </w:rPr>
        <w:t>COMMIT</w:t>
      </w:r>
      <w:r>
        <w:rPr>
          <w:rFonts w:ascii="Calibri" w:hAnsi="Calibri"/>
          <w:color w:val="182433"/>
          <w:sz w:val="22"/>
        </w:rPr>
        <w:t xml:space="preserve"> blocks are preserved as transaction groups. The report distinguishes transaction rollback from non-transactional partial state.</w:t>
      </w:r>
    </w:p>
    <w:p>
      <w:pPr>
        <w:pStyle w:val="Heading2"/>
      </w:pPr>
      <w:r>
        <w:rPr>
          <w:rFonts w:ascii="Calibri" w:hAnsi="Calibri"/>
          <w:color w:val="2E74B5"/>
          <w:sz w:val="26"/>
        </w:rPr>
        <w:t>9.5 Lock-risk heuristic</w:t>
      </w:r>
    </w:p>
    <w:p>
      <w:r>
        <w:rPr>
          <w:rFonts w:ascii="Calibri" w:hAnsi="Calibri"/>
          <w:color w:val="182433"/>
          <w:sz w:val="22"/>
        </w:rPr>
        <w:t xml:space="preserve">Flag patterns such as non-concurrent index creation, table rewrites, type changes, validation-heavy constraints, and long backfills. The report must label this result </w:t>
      </w:r>
      <w:r>
        <w:rPr>
          <w:rFonts w:ascii="Consolas" w:hAnsi="Consolas"/>
          <w:color w:val="1F4D78"/>
          <w:sz w:val="21"/>
          <w:shd w:fill="EEF2F6"/>
        </w:rPr>
        <w:t>HEURISTIC</w:t>
      </w:r>
      <w:r>
        <w:rPr>
          <w:rFonts w:ascii="Calibri" w:hAnsi="Calibri"/>
          <w:color w:val="182433"/>
          <w:sz w:val="22"/>
        </w:rPr>
        <w:t xml:space="preserve"> and state that synthetic execution does not measure production lock time.</w:t>
      </w:r>
    </w:p>
    <w:p>
      <w:pPr>
        <w:pStyle w:val="Heading1"/>
      </w:pPr>
      <w:r>
        <w:rPr>
          <w:rFonts w:ascii="Calibri" w:hAnsi="Calibri"/>
          <w:color w:val="2E74B5"/>
          <w:sz w:val="32"/>
        </w:rPr>
        <w:t>10. Simulation architecture</w:t>
      </w:r>
    </w:p>
    <w:p>
      <w:r>
        <w:rPr>
          <w:rFonts w:ascii="Calibri" w:hAnsi="Calibri"/>
          <w:color w:val="182433"/>
          <w:sz w:val="22"/>
        </w:rPr>
        <w:t>The control flow is: Next.js evidence stepper -&gt; FastAPI analysis API -&gt; archive and policy validator -&gt; deterministic risk engine -&gt; sandbox manager -&gt; disposable PostgreSQL 18. The compatibility and recovery engine writes only sanitized evidence. When remediation is requested, normalized findings pass to Gemini, then through Pydantic and SQL policy validation, and finally into a fresh sandbox before the report can show a verified verdict.</w:t>
      </w:r>
    </w:p>
    <w:p>
      <w:pPr>
        <w:pStyle w:val="Heading2"/>
      </w:pPr>
      <w:r>
        <w:rPr>
          <w:rFonts w:ascii="Calibri" w:hAnsi="Calibri"/>
          <w:color w:val="2E74B5"/>
          <w:sz w:val="26"/>
        </w:rPr>
        <w:t>10.1 MVP sandbox</w:t>
      </w:r>
    </w:p>
    <w:p>
      <w:r>
        <w:rPr>
          <w:rFonts w:ascii="Calibri" w:hAnsi="Calibri"/>
          <w:color w:val="182433"/>
          <w:sz w:val="22"/>
        </w:rPr>
        <w:t xml:space="preserve">Each run starts an unprivileged PostgreSQL 18 cluster under a unique </w:t>
      </w:r>
      <w:r>
        <w:rPr>
          <w:rFonts w:ascii="Consolas" w:hAnsi="Consolas"/>
          <w:color w:val="1F4D78"/>
          <w:sz w:val="21"/>
          <w:shd w:fill="EEF2F6"/>
        </w:rPr>
        <w:t>/tmp/rollbackready/{analysis_id}</w:t>
      </w:r>
      <w:r>
        <w:rPr>
          <w:rFonts w:ascii="Calibri" w:hAnsi="Calibri"/>
          <w:color w:val="182433"/>
          <w:sz w:val="22"/>
        </w:rPr>
        <w:t xml:space="preserve"> directory. It listens on a Unix socket only. The control process creates a non-superuser database role for migration execution. The sandbox has no route to the production database and receives no production credentials.</w:t>
      </w:r>
    </w:p>
    <w:p>
      <w:r>
        <w:rPr>
          <w:rFonts w:ascii="Calibri" w:hAnsi="Calibri"/>
          <w:color w:val="182433"/>
          <w:sz w:val="22"/>
        </w:rPr>
        <w:t>The worker enforces:</w:t>
      </w:r>
    </w:p>
    <w:p>
      <w:pPr>
        <w:spacing w:before="0" w:after="160" w:line="280" w:lineRule="auto"/>
        <w:numPr>
          <w:ilvl w:val="0"/>
          <w:numId w:val="10"/>
        </w:numPr>
      </w:pPr>
      <w:r>
        <w:rPr>
          <w:rFonts w:ascii="Calibri" w:hAnsi="Calibri"/>
          <w:color w:val="182433"/>
          <w:sz w:val="22"/>
        </w:rPr>
        <w:t>One active simulation per application instance.</w:t>
      </w:r>
    </w:p>
    <w:p>
      <w:pPr>
        <w:spacing w:before="0" w:after="160" w:line="280" w:lineRule="auto"/>
        <w:numPr>
          <w:ilvl w:val="0"/>
          <w:numId w:val="10"/>
        </w:numPr>
      </w:pPr>
      <w:r>
        <w:rPr>
          <w:rFonts w:ascii="Calibri" w:hAnsi="Calibri"/>
          <w:color w:val="182433"/>
          <w:sz w:val="22"/>
        </w:rPr>
        <w:t>10 MiB compressed and 50 MiB uncompressed upload limits.</w:t>
      </w:r>
    </w:p>
    <w:p>
      <w:pPr>
        <w:spacing w:before="0" w:after="160" w:line="280" w:lineRule="auto"/>
        <w:numPr>
          <w:ilvl w:val="0"/>
          <w:numId w:val="10"/>
        </w:numPr>
      </w:pPr>
      <w:r>
        <w:rPr>
          <w:rFonts w:ascii="Calibri" w:hAnsi="Calibri"/>
          <w:color w:val="182433"/>
          <w:sz w:val="22"/>
        </w:rPr>
        <w:t>25 candidate statements.</w:t>
      </w:r>
    </w:p>
    <w:p>
      <w:pPr>
        <w:spacing w:before="0" w:after="160" w:line="280" w:lineRule="auto"/>
        <w:numPr>
          <w:ilvl w:val="0"/>
          <w:numId w:val="10"/>
        </w:numPr>
      </w:pPr>
      <w:r>
        <w:rPr>
          <w:rFonts w:ascii="Calibri" w:hAnsi="Calibri"/>
          <w:color w:val="182433"/>
          <w:sz w:val="22"/>
        </w:rPr>
        <w:t>20 legacy queries.</w:t>
      </w:r>
    </w:p>
    <w:p>
      <w:pPr>
        <w:spacing w:before="0" w:after="160" w:line="280" w:lineRule="auto"/>
        <w:numPr>
          <w:ilvl w:val="0"/>
          <w:numId w:val="10"/>
        </w:numPr>
      </w:pPr>
      <w:r>
        <w:rPr>
          <w:rFonts w:ascii="Calibri" w:hAnsi="Calibri"/>
          <w:color w:val="182433"/>
          <w:sz w:val="22"/>
        </w:rPr>
        <w:t>10,000 fixture rows across supported demo tables.</w:t>
      </w:r>
    </w:p>
    <w:p>
      <w:pPr>
        <w:spacing w:before="0" w:after="160" w:line="280" w:lineRule="auto"/>
        <w:numPr>
          <w:ilvl w:val="0"/>
          <w:numId w:val="10"/>
        </w:numPr>
      </w:pPr>
      <w:r>
        <w:rPr>
          <w:rFonts w:ascii="Calibri" w:hAnsi="Calibri"/>
          <w:color w:val="182433"/>
          <w:sz w:val="22"/>
        </w:rPr>
        <w:t>5-second statement timeout and 2-second lock timeout by default.</w:t>
      </w:r>
    </w:p>
    <w:p>
      <w:pPr>
        <w:spacing w:before="0" w:after="160" w:line="280" w:lineRule="auto"/>
        <w:numPr>
          <w:ilvl w:val="0"/>
          <w:numId w:val="10"/>
        </w:numPr>
      </w:pPr>
      <w:r>
        <w:rPr>
          <w:rFonts w:ascii="Calibri" w:hAnsi="Calibri"/>
          <w:color w:val="182433"/>
          <w:sz w:val="22"/>
        </w:rPr>
        <w:t>90-second maximum per simulation stage.</w:t>
      </w:r>
    </w:p>
    <w:p>
      <w:pPr>
        <w:spacing w:before="0" w:after="160" w:line="280" w:lineRule="auto"/>
        <w:numPr>
          <w:ilvl w:val="0"/>
          <w:numId w:val="10"/>
        </w:numPr>
      </w:pPr>
      <w:r>
        <w:rPr>
          <w:rFonts w:ascii="Calibri" w:hAnsi="Calibri"/>
          <w:color w:val="182433"/>
          <w:sz w:val="22"/>
        </w:rPr>
        <w:t>1 GiB temporary storage budget and bounded process memory.</w:t>
      </w:r>
    </w:p>
    <w:p>
      <w:pPr>
        <w:spacing w:before="0" w:after="160" w:line="280" w:lineRule="auto"/>
        <w:numPr>
          <w:ilvl w:val="0"/>
          <w:numId w:val="10"/>
        </w:numPr>
      </w:pPr>
      <w:r>
        <w:rPr>
          <w:rFonts w:ascii="Calibri" w:hAnsi="Calibri"/>
          <w:color w:val="182433"/>
          <w:sz w:val="22"/>
        </w:rPr>
        <w:t>Cleanup on success, failure, timeout, and startup recovery.</w:t>
      </w:r>
    </w:p>
    <w:p>
      <w:pPr>
        <w:pStyle w:val="Heading2"/>
      </w:pPr>
      <w:r>
        <w:rPr>
          <w:rFonts w:ascii="Calibri" w:hAnsi="Calibri"/>
          <w:color w:val="2E74B5"/>
          <w:sz w:val="26"/>
        </w:rPr>
        <w:t>10.2 SQL policy</w:t>
      </w:r>
    </w:p>
    <w:p>
      <w:r>
        <w:rPr>
          <w:rFonts w:ascii="Calibri" w:hAnsi="Calibri"/>
          <w:color w:val="182433"/>
          <w:sz w:val="22"/>
        </w:rPr>
        <w:t>Allow only supported database-local DDL and fixture/query DML. Block at minimum:</w:t>
      </w:r>
    </w:p>
    <w:p>
      <w:pPr>
        <w:spacing w:before="0" w:after="160" w:line="280" w:lineRule="auto"/>
        <w:numPr>
          <w:ilvl w:val="0"/>
          <w:numId w:val="10"/>
        </w:numPr>
      </w:pPr>
      <w:r>
        <w:rPr>
          <w:rFonts w:ascii="Consolas" w:hAnsi="Consolas"/>
          <w:color w:val="1F4D78"/>
          <w:sz w:val="21"/>
          <w:shd w:fill="EEF2F6"/>
        </w:rPr>
        <w:t>CREATE DATABASE</w:t>
      </w:r>
      <w:r>
        <w:rPr>
          <w:rFonts w:ascii="Calibri" w:hAnsi="Calibri"/>
          <w:color w:val="182433"/>
          <w:sz w:val="22"/>
        </w:rPr>
        <w:t xml:space="preserve">, </w:t>
      </w:r>
      <w:r>
        <w:rPr>
          <w:rFonts w:ascii="Consolas" w:hAnsi="Consolas"/>
          <w:color w:val="1F4D78"/>
          <w:sz w:val="21"/>
          <w:shd w:fill="EEF2F6"/>
        </w:rPr>
        <w:t>DROP DATABASE</w:t>
      </w:r>
      <w:r>
        <w:rPr>
          <w:rFonts w:ascii="Calibri" w:hAnsi="Calibri"/>
          <w:color w:val="182433"/>
          <w:sz w:val="22"/>
        </w:rPr>
        <w:t xml:space="preserve">, </w:t>
      </w:r>
      <w:r>
        <w:rPr>
          <w:rFonts w:ascii="Consolas" w:hAnsi="Consolas"/>
          <w:color w:val="1F4D78"/>
          <w:sz w:val="21"/>
          <w:shd w:fill="EEF2F6"/>
        </w:rPr>
        <w:t>CREATE ROLE</w:t>
      </w:r>
      <w:r>
        <w:rPr>
          <w:rFonts w:ascii="Calibri" w:hAnsi="Calibri"/>
          <w:color w:val="182433"/>
          <w:sz w:val="22"/>
        </w:rPr>
        <w:t xml:space="preserve">, </w:t>
      </w:r>
      <w:r>
        <w:rPr>
          <w:rFonts w:ascii="Consolas" w:hAnsi="Consolas"/>
          <w:color w:val="1F4D78"/>
          <w:sz w:val="21"/>
          <w:shd w:fill="EEF2F6"/>
        </w:rPr>
        <w:t>ALTER ROLE</w:t>
      </w:r>
      <w:r>
        <w:rPr>
          <w:rFonts w:ascii="Calibri" w:hAnsi="Calibri"/>
          <w:color w:val="182433"/>
          <w:sz w:val="22"/>
        </w:rPr>
        <w:t>, and privilege escalation.</w:t>
      </w:r>
    </w:p>
    <w:p>
      <w:pPr>
        <w:spacing w:before="0" w:after="160" w:line="280" w:lineRule="auto"/>
        <w:numPr>
          <w:ilvl w:val="0"/>
          <w:numId w:val="10"/>
        </w:numPr>
      </w:pPr>
      <w:r>
        <w:rPr>
          <w:rFonts w:ascii="Consolas" w:hAnsi="Consolas"/>
          <w:color w:val="1F4D78"/>
          <w:sz w:val="21"/>
          <w:shd w:fill="EEF2F6"/>
        </w:rPr>
        <w:t>COPY ... PROGRAM</w:t>
      </w:r>
      <w:r>
        <w:rPr>
          <w:rFonts w:ascii="Calibri" w:hAnsi="Calibri"/>
          <w:color w:val="182433"/>
          <w:sz w:val="22"/>
        </w:rPr>
        <w:t xml:space="preserve"> and server-side filesystem access.</w:t>
      </w:r>
    </w:p>
    <w:p>
      <w:pPr>
        <w:spacing w:before="0" w:after="160" w:line="280" w:lineRule="auto"/>
        <w:numPr>
          <w:ilvl w:val="0"/>
          <w:numId w:val="10"/>
        </w:numPr>
      </w:pPr>
      <w:r>
        <w:rPr>
          <w:rFonts w:ascii="Calibri" w:hAnsi="Calibri"/>
          <w:color w:val="182433"/>
          <w:sz w:val="22"/>
        </w:rPr>
        <w:t>Extension installation, procedural untrusted languages, event triggers, replication commands, and configuration changes outside the session allowlist.</w:t>
      </w:r>
    </w:p>
    <w:p>
      <w:pPr>
        <w:spacing w:before="0" w:after="160" w:line="280" w:lineRule="auto"/>
        <w:numPr>
          <w:ilvl w:val="0"/>
          <w:numId w:val="10"/>
        </w:numPr>
      </w:pPr>
      <w:r>
        <w:rPr>
          <w:rFonts w:ascii="Calibri" w:hAnsi="Calibri"/>
          <w:color w:val="182433"/>
          <w:sz w:val="22"/>
        </w:rPr>
        <w:t>Network extensions and functions known to perform external access.</w:t>
      </w:r>
    </w:p>
    <w:p>
      <w:pPr>
        <w:spacing w:before="0" w:after="160" w:line="280" w:lineRule="auto"/>
        <w:numPr>
          <w:ilvl w:val="0"/>
          <w:numId w:val="10"/>
        </w:numPr>
      </w:pPr>
      <w:r>
        <w:rPr>
          <w:rFonts w:ascii="Calibri" w:hAnsi="Calibri"/>
          <w:color w:val="182433"/>
          <w:sz w:val="22"/>
        </w:rPr>
        <w:t>Unbounded sleep or deliberate resource-exhaustion constructs.</w:t>
      </w:r>
    </w:p>
    <w:p>
      <w:r>
        <w:rPr>
          <w:rFonts w:ascii="Calibri" w:hAnsi="Calibri"/>
          <w:color w:val="182433"/>
          <w:sz w:val="22"/>
        </w:rPr>
        <w:t xml:space="preserve">Unsupported SQL produces </w:t>
      </w:r>
      <w:r>
        <w:rPr>
          <w:rFonts w:ascii="Consolas" w:hAnsi="Consolas"/>
          <w:color w:val="1F4D78"/>
          <w:sz w:val="21"/>
          <w:shd w:fill="EEF2F6"/>
        </w:rPr>
        <w:t>ERROR</w:t>
      </w:r>
      <w:r>
        <w:rPr>
          <w:rFonts w:ascii="Calibri" w:hAnsi="Calibri"/>
          <w:color w:val="182433"/>
          <w:sz w:val="22"/>
        </w:rPr>
        <w:t xml:space="preserve"> or </w:t>
      </w:r>
      <w:r>
        <w:rPr>
          <w:rFonts w:ascii="Consolas" w:hAnsi="Consolas"/>
          <w:color w:val="1F4D78"/>
          <w:sz w:val="21"/>
          <w:shd w:fill="EEF2F6"/>
        </w:rPr>
        <w:t>INSUFFICIENT_EVIDENCE</w:t>
      </w:r>
      <w:r>
        <w:rPr>
          <w:rFonts w:ascii="Calibri" w:hAnsi="Calibri"/>
          <w:color w:val="182433"/>
          <w:sz w:val="22"/>
        </w:rPr>
        <w:t>; it is never silently skipped in verified mode.</w:t>
      </w:r>
    </w:p>
    <w:p>
      <w:pPr>
        <w:pStyle w:val="Heading2"/>
      </w:pPr>
      <w:r>
        <w:rPr>
          <w:rFonts w:ascii="Calibri" w:hAnsi="Calibri"/>
          <w:color w:val="2E74B5"/>
          <w:sz w:val="26"/>
        </w:rPr>
        <w:t>10.3 Analysis state machine</w:t>
      </w:r>
    </w:p>
    <w:p>
      <w:pPr>
        <w:spacing w:before="0" w:after="160" w:line="280" w:lineRule="auto"/>
        <w:numPr>
          <w:ilvl w:val="0"/>
          <w:numId w:val="10"/>
        </w:numPr>
      </w:pPr>
      <w:r>
        <w:rPr>
          <w:rFonts w:ascii="Consolas" w:hAnsi="Consolas"/>
          <w:color w:val="1F4D78"/>
          <w:sz w:val="21"/>
          <w:shd w:fill="EEF2F6"/>
        </w:rPr>
        <w:t>STAGED</w:t>
      </w:r>
      <w:r>
        <w:rPr>
          <w:rFonts w:ascii="Calibri" w:hAnsi="Calibri"/>
          <w:color w:val="182433"/>
          <w:sz w:val="22"/>
        </w:rPr>
        <w:t xml:space="preserve"> moves to </w:t>
      </w:r>
      <w:r>
        <w:rPr>
          <w:rFonts w:ascii="Consolas" w:hAnsi="Consolas"/>
          <w:color w:val="1F4D78"/>
          <w:sz w:val="21"/>
          <w:shd w:fill="EEF2F6"/>
        </w:rPr>
        <w:t>VALIDATING</w:t>
      </w:r>
      <w:r>
        <w:rPr>
          <w:rFonts w:ascii="Calibri" w:hAnsi="Calibri"/>
          <w:color w:val="182433"/>
          <w:sz w:val="22"/>
        </w:rPr>
        <w:t>.</w:t>
      </w:r>
    </w:p>
    <w:p>
      <w:pPr>
        <w:spacing w:before="0" w:after="160" w:line="280" w:lineRule="auto"/>
        <w:numPr>
          <w:ilvl w:val="0"/>
          <w:numId w:val="10"/>
        </w:numPr>
      </w:pPr>
      <w:r>
        <w:rPr>
          <w:rFonts w:ascii="Calibri" w:hAnsi="Calibri"/>
          <w:color w:val="182433"/>
          <w:sz w:val="22"/>
        </w:rPr>
        <w:t xml:space="preserve">Validation failure ends as </w:t>
      </w:r>
      <w:r>
        <w:rPr>
          <w:rFonts w:ascii="Consolas" w:hAnsi="Consolas"/>
          <w:color w:val="1F4D78"/>
          <w:sz w:val="21"/>
          <w:shd w:fill="EEF2F6"/>
        </w:rPr>
        <w:t>INVALID</w:t>
      </w:r>
      <w:r>
        <w:rPr>
          <w:rFonts w:ascii="Calibri" w:hAnsi="Calibri"/>
          <w:color w:val="182433"/>
          <w:sz w:val="22"/>
        </w:rPr>
        <w:t xml:space="preserve">; valid input moves to </w:t>
      </w:r>
      <w:r>
        <w:rPr>
          <w:rFonts w:ascii="Consolas" w:hAnsi="Consolas"/>
          <w:color w:val="1F4D78"/>
          <w:sz w:val="21"/>
          <w:shd w:fill="EEF2F6"/>
        </w:rPr>
        <w:t>ANALYZING</w:t>
      </w:r>
      <w:r>
        <w:rPr>
          <w:rFonts w:ascii="Calibri" w:hAnsi="Calibri"/>
          <w:color w:val="182433"/>
          <w:sz w:val="22"/>
        </w:rPr>
        <w:t>.</w:t>
      </w:r>
    </w:p>
    <w:p>
      <w:pPr>
        <w:spacing w:before="0" w:after="160" w:line="280" w:lineRule="auto"/>
        <w:numPr>
          <w:ilvl w:val="0"/>
          <w:numId w:val="10"/>
        </w:numPr>
      </w:pPr>
      <w:r>
        <w:rPr>
          <w:rFonts w:ascii="Calibri" w:hAnsi="Calibri"/>
          <w:color w:val="182433"/>
          <w:sz w:val="22"/>
        </w:rPr>
        <w:t xml:space="preserve">Incomplete evidence ends as </w:t>
      </w:r>
      <w:r>
        <w:rPr>
          <w:rFonts w:ascii="Consolas" w:hAnsi="Consolas"/>
          <w:color w:val="1F4D78"/>
          <w:sz w:val="21"/>
          <w:shd w:fill="EEF2F6"/>
        </w:rPr>
        <w:t>STATIC_ONLY</w:t>
      </w:r>
      <w:r>
        <w:rPr>
          <w:rFonts w:ascii="Calibri" w:hAnsi="Calibri"/>
          <w:color w:val="182433"/>
          <w:sz w:val="22"/>
        </w:rPr>
        <w:t xml:space="preserve">; verified-mode input moves to </w:t>
      </w:r>
      <w:r>
        <w:rPr>
          <w:rFonts w:ascii="Consolas" w:hAnsi="Consolas"/>
          <w:color w:val="1F4D78"/>
          <w:sz w:val="21"/>
          <w:shd w:fill="EEF2F6"/>
        </w:rPr>
        <w:t>SIMULATING</w:t>
      </w:r>
      <w:r>
        <w:rPr>
          <w:rFonts w:ascii="Calibri" w:hAnsi="Calibri"/>
          <w:color w:val="182433"/>
          <w:sz w:val="22"/>
        </w:rPr>
        <w:t>.</w:t>
      </w:r>
    </w:p>
    <w:p>
      <w:pPr>
        <w:spacing w:before="0" w:after="160" w:line="280" w:lineRule="auto"/>
        <w:numPr>
          <w:ilvl w:val="0"/>
          <w:numId w:val="10"/>
        </w:numPr>
      </w:pPr>
      <w:r>
        <w:rPr>
          <w:rFonts w:ascii="Calibri" w:hAnsi="Calibri"/>
          <w:color w:val="182433"/>
          <w:sz w:val="22"/>
        </w:rPr>
        <w:t xml:space="preserve">Simulation ends as </w:t>
      </w:r>
      <w:r>
        <w:rPr>
          <w:rFonts w:ascii="Consolas" w:hAnsi="Consolas"/>
          <w:color w:val="1F4D78"/>
          <w:sz w:val="21"/>
          <w:shd w:fill="EEF2F6"/>
        </w:rPr>
        <w:t>UNSAFE</w:t>
      </w:r>
      <w:r>
        <w:rPr>
          <w:rFonts w:ascii="Calibri" w:hAnsi="Calibri"/>
          <w:color w:val="182433"/>
          <w:sz w:val="22"/>
        </w:rPr>
        <w:t xml:space="preserve">, </w:t>
      </w:r>
      <w:r>
        <w:rPr>
          <w:rFonts w:ascii="Consolas" w:hAnsi="Consolas"/>
          <w:color w:val="1F4D78"/>
          <w:sz w:val="21"/>
          <w:shd w:fill="EEF2F6"/>
        </w:rPr>
        <w:t>CONDITIONAL</w:t>
      </w:r>
      <w:r>
        <w:rPr>
          <w:rFonts w:ascii="Calibri" w:hAnsi="Calibri"/>
          <w:color w:val="182433"/>
          <w:sz w:val="22"/>
        </w:rPr>
        <w:t xml:space="preserve">, or </w:t>
      </w:r>
      <w:r>
        <w:rPr>
          <w:rFonts w:ascii="Consolas" w:hAnsi="Consolas"/>
          <w:color w:val="1F4D78"/>
          <w:sz w:val="21"/>
          <w:shd w:fill="EEF2F6"/>
        </w:rPr>
        <w:t>VERIFIED</w:t>
      </w:r>
      <w:r>
        <w:rPr>
          <w:rFonts w:ascii="Calibri" w:hAnsi="Calibri"/>
          <w:color w:val="182433"/>
          <w:sz w:val="22"/>
        </w:rPr>
        <w:t xml:space="preserve"> according to deterministic evidence.</w:t>
      </w:r>
    </w:p>
    <w:p>
      <w:pPr>
        <w:spacing w:before="0" w:after="160" w:line="280" w:lineRule="auto"/>
        <w:numPr>
          <w:ilvl w:val="0"/>
          <w:numId w:val="10"/>
        </w:numPr>
      </w:pPr>
      <w:r>
        <w:rPr>
          <w:rFonts w:ascii="Calibri" w:hAnsi="Calibri"/>
          <w:color w:val="182433"/>
          <w:sz w:val="22"/>
        </w:rPr>
        <w:t xml:space="preserve">An </w:t>
      </w:r>
      <w:r>
        <w:rPr>
          <w:rFonts w:ascii="Consolas" w:hAnsi="Consolas"/>
          <w:color w:val="1F4D78"/>
          <w:sz w:val="21"/>
          <w:shd w:fill="EEF2F6"/>
        </w:rPr>
        <w:t>UNSAFE</w:t>
      </w:r>
      <w:r>
        <w:rPr>
          <w:rFonts w:ascii="Calibri" w:hAnsi="Calibri"/>
          <w:color w:val="182433"/>
          <w:sz w:val="22"/>
        </w:rPr>
        <w:t xml:space="preserve"> analysis may enter </w:t>
      </w:r>
      <w:r>
        <w:rPr>
          <w:rFonts w:ascii="Consolas" w:hAnsi="Consolas"/>
          <w:color w:val="1F4D78"/>
          <w:sz w:val="21"/>
          <w:shd w:fill="EEF2F6"/>
        </w:rPr>
        <w:t>PLANNING</w:t>
      </w:r>
      <w:r>
        <w:rPr>
          <w:rFonts w:ascii="Calibri" w:hAnsi="Calibri"/>
          <w:color w:val="182433"/>
          <w:sz w:val="22"/>
        </w:rPr>
        <w:t xml:space="preserve"> when the user requests remediation.</w:t>
      </w:r>
    </w:p>
    <w:p>
      <w:pPr>
        <w:spacing w:before="0" w:after="160" w:line="280" w:lineRule="auto"/>
        <w:numPr>
          <w:ilvl w:val="0"/>
          <w:numId w:val="10"/>
        </w:numPr>
      </w:pPr>
      <w:r>
        <w:rPr>
          <w:rFonts w:ascii="Calibri" w:hAnsi="Calibri"/>
          <w:color w:val="182433"/>
          <w:sz w:val="22"/>
        </w:rPr>
        <w:t xml:space="preserve">Schema or policy failure ends as </w:t>
      </w:r>
      <w:r>
        <w:rPr>
          <w:rFonts w:ascii="Consolas" w:hAnsi="Consolas"/>
          <w:color w:val="1F4D78"/>
          <w:sz w:val="21"/>
          <w:shd w:fill="EEF2F6"/>
        </w:rPr>
        <w:t>PLAN_REJECTED</w:t>
      </w:r>
      <w:r>
        <w:rPr>
          <w:rFonts w:ascii="Calibri" w:hAnsi="Calibri"/>
          <w:color w:val="182433"/>
          <w:sz w:val="22"/>
        </w:rPr>
        <w:t xml:space="preserve">; otherwise the plan enters </w:t>
      </w:r>
      <w:r>
        <w:rPr>
          <w:rFonts w:ascii="Consolas" w:hAnsi="Consolas"/>
          <w:color w:val="1F4D78"/>
          <w:sz w:val="21"/>
          <w:shd w:fill="EEF2F6"/>
        </w:rPr>
        <w:t>VERIFYING_PLAN</w:t>
      </w:r>
      <w:r>
        <w:rPr>
          <w:rFonts w:ascii="Calibri" w:hAnsi="Calibri"/>
          <w:color w:val="182433"/>
          <w:sz w:val="22"/>
        </w:rPr>
        <w:t>.</w:t>
      </w:r>
    </w:p>
    <w:p>
      <w:pPr>
        <w:spacing w:before="0" w:after="160" w:line="280" w:lineRule="auto"/>
        <w:numPr>
          <w:ilvl w:val="0"/>
          <w:numId w:val="10"/>
        </w:numPr>
      </w:pPr>
      <w:r>
        <w:rPr>
          <w:rFonts w:ascii="Calibri" w:hAnsi="Calibri"/>
          <w:color w:val="182433"/>
          <w:sz w:val="22"/>
        </w:rPr>
        <w:t xml:space="preserve">Fresh-sandbox failure ends as </w:t>
      </w:r>
      <w:r>
        <w:rPr>
          <w:rFonts w:ascii="Consolas" w:hAnsi="Consolas"/>
          <w:color w:val="1F4D78"/>
          <w:sz w:val="21"/>
          <w:shd w:fill="EEF2F6"/>
        </w:rPr>
        <w:t>PLAN_REJECTED</w:t>
      </w:r>
      <w:r>
        <w:rPr>
          <w:rFonts w:ascii="Calibri" w:hAnsi="Calibri"/>
          <w:color w:val="182433"/>
          <w:sz w:val="22"/>
        </w:rPr>
        <w:t xml:space="preserve">; complete mandatory evidence ends as </w:t>
      </w:r>
      <w:r>
        <w:rPr>
          <w:rFonts w:ascii="Consolas" w:hAnsi="Consolas"/>
          <w:color w:val="1F4D78"/>
          <w:sz w:val="21"/>
          <w:shd w:fill="EEF2F6"/>
        </w:rPr>
        <w:t>VERIFIED_PLAN</w:t>
      </w:r>
      <w:r>
        <w:rPr>
          <w:rFonts w:ascii="Calibri" w:hAnsi="Calibri"/>
          <w:color w:val="182433"/>
          <w:sz w:val="22"/>
        </w:rPr>
        <w:t>.</w:t>
      </w:r>
    </w:p>
    <w:p>
      <w:pPr>
        <w:pStyle w:val="Heading1"/>
      </w:pPr>
      <w:r>
        <w:rPr>
          <w:rFonts w:ascii="Calibri" w:hAnsi="Calibri"/>
          <w:color w:val="2E74B5"/>
          <w:sz w:val="32"/>
        </w:rPr>
        <w:t>11. Gemini planner boundaries</w:t>
      </w:r>
    </w:p>
    <w:p>
      <w:pPr>
        <w:pStyle w:val="Heading2"/>
      </w:pPr>
      <w:r>
        <w:rPr>
          <w:rFonts w:ascii="Calibri" w:hAnsi="Calibri"/>
          <w:color w:val="2E74B5"/>
          <w:sz w:val="26"/>
        </w:rPr>
        <w:t>11.1 Provider and model</w:t>
      </w:r>
    </w:p>
    <w:p>
      <w:r>
        <w:rPr>
          <w:rFonts w:ascii="Calibri" w:hAnsi="Calibri"/>
          <w:color w:val="182433"/>
          <w:sz w:val="22"/>
        </w:rPr>
        <w:t xml:space="preserve">Use the Google Gen AI SDK against Vertex AI with workload identity. Default to the stable </w:t>
      </w:r>
      <w:r>
        <w:rPr>
          <w:rFonts w:ascii="Consolas" w:hAnsi="Consolas"/>
          <w:color w:val="1F4D78"/>
          <w:sz w:val="21"/>
          <w:shd w:fill="EEF2F6"/>
        </w:rPr>
        <w:t>gemini-3.6-flash</w:t>
      </w:r>
      <w:r>
        <w:rPr>
          <w:rFonts w:ascii="Calibri" w:hAnsi="Calibri"/>
          <w:color w:val="182433"/>
          <w:sz w:val="22"/>
        </w:rPr>
        <w:t xml:space="preserve"> model [6]. The model identifier remains configurable through </w:t>
      </w:r>
      <w:r>
        <w:rPr>
          <w:rFonts w:ascii="Consolas" w:hAnsi="Consolas"/>
          <w:color w:val="1F4D78"/>
          <w:sz w:val="21"/>
          <w:shd w:fill="EEF2F6"/>
        </w:rPr>
        <w:t>GEMINI_MODEL</w:t>
      </w:r>
      <w:r>
        <w:rPr>
          <w:rFonts w:ascii="Calibri" w:hAnsi="Calibri"/>
          <w:color w:val="182433"/>
          <w:sz w:val="22"/>
        </w:rPr>
        <w:t xml:space="preserve">, but production configuration must use an explicit stable identifier, not a floating </w:t>
      </w:r>
      <w:r>
        <w:rPr>
          <w:rFonts w:ascii="Consolas" w:hAnsi="Consolas"/>
          <w:color w:val="1F4D78"/>
          <w:sz w:val="21"/>
          <w:shd w:fill="EEF2F6"/>
        </w:rPr>
        <w:t>latest</w:t>
      </w:r>
      <w:r>
        <w:rPr>
          <w:rFonts w:ascii="Calibri" w:hAnsi="Calibri"/>
          <w:color w:val="182433"/>
          <w:sz w:val="22"/>
        </w:rPr>
        <w:t xml:space="preserve"> alias.</w:t>
      </w:r>
    </w:p>
    <w:p>
      <w:r>
        <w:rPr>
          <w:rFonts w:ascii="Calibri" w:hAnsi="Calibri"/>
          <w:color w:val="182433"/>
          <w:sz w:val="22"/>
        </w:rPr>
        <w:t>Generation configuration:</w:t>
      </w:r>
    </w:p>
    <w:p>
      <w:pPr>
        <w:spacing w:before="0" w:after="160" w:line="280" w:lineRule="auto"/>
        <w:numPr>
          <w:ilvl w:val="0"/>
          <w:numId w:val="10"/>
        </w:numPr>
      </w:pPr>
      <w:r>
        <w:rPr>
          <w:rFonts w:ascii="Calibri" w:hAnsi="Calibri"/>
          <w:color w:val="182433"/>
          <w:sz w:val="22"/>
        </w:rPr>
        <w:t xml:space="preserve">Temperature: </w:t>
      </w:r>
      <w:r>
        <w:rPr>
          <w:rFonts w:ascii="Consolas" w:hAnsi="Consolas"/>
          <w:color w:val="1F4D78"/>
          <w:sz w:val="21"/>
          <w:shd w:fill="EEF2F6"/>
        </w:rPr>
        <w:t>0.1</w:t>
      </w:r>
      <w:r>
        <w:rPr>
          <w:rFonts w:ascii="Calibri" w:hAnsi="Calibri"/>
          <w:color w:val="182433"/>
          <w:sz w:val="22"/>
        </w:rPr>
        <w:t>.</w:t>
      </w:r>
    </w:p>
    <w:p>
      <w:pPr>
        <w:spacing w:before="0" w:after="160" w:line="280" w:lineRule="auto"/>
        <w:numPr>
          <w:ilvl w:val="0"/>
          <w:numId w:val="10"/>
        </w:numPr>
      </w:pPr>
      <w:r>
        <w:rPr>
          <w:rFonts w:ascii="Calibri" w:hAnsi="Calibri"/>
          <w:color w:val="182433"/>
          <w:sz w:val="22"/>
        </w:rPr>
        <w:t>Structured JSON response schema generated from Pydantic.</w:t>
      </w:r>
    </w:p>
    <w:p>
      <w:pPr>
        <w:spacing w:before="0" w:after="160" w:line="280" w:lineRule="auto"/>
        <w:numPr>
          <w:ilvl w:val="0"/>
          <w:numId w:val="10"/>
        </w:numPr>
      </w:pPr>
      <w:r>
        <w:rPr>
          <w:rFonts w:ascii="Calibri" w:hAnsi="Calibri"/>
          <w:color w:val="182433"/>
          <w:sz w:val="22"/>
        </w:rPr>
        <w:t>No web search, code execution, URL retrieval, or autonomous tool use.</w:t>
      </w:r>
    </w:p>
    <w:p>
      <w:pPr>
        <w:spacing w:before="0" w:after="160" w:line="280" w:lineRule="auto"/>
        <w:numPr>
          <w:ilvl w:val="0"/>
          <w:numId w:val="10"/>
        </w:numPr>
      </w:pPr>
      <w:r>
        <w:rPr>
          <w:rFonts w:ascii="Calibri" w:hAnsi="Calibri"/>
          <w:color w:val="182433"/>
          <w:sz w:val="22"/>
        </w:rPr>
        <w:t>One generation attempt plus one schema-repair attempt.</w:t>
      </w:r>
    </w:p>
    <w:p>
      <w:pPr>
        <w:spacing w:before="0" w:after="160" w:line="280" w:lineRule="auto"/>
        <w:numPr>
          <w:ilvl w:val="0"/>
          <w:numId w:val="10"/>
        </w:numPr>
      </w:pPr>
      <w:r>
        <w:rPr>
          <w:rFonts w:ascii="Calibri" w:hAnsi="Calibri"/>
          <w:color w:val="182433"/>
          <w:sz w:val="22"/>
        </w:rPr>
        <w:t>Deterministic fallback template if generation is unavailable or invalid.</w:t>
      </w:r>
    </w:p>
    <w:p>
      <w:pPr>
        <w:pStyle w:val="Heading2"/>
      </w:pPr>
      <w:r>
        <w:rPr>
          <w:rFonts w:ascii="Calibri" w:hAnsi="Calibri"/>
          <w:color w:val="2E74B5"/>
          <w:sz w:val="26"/>
        </w:rPr>
        <w:t>11.2 Allowed AI responsibilities</w:t>
      </w:r>
    </w:p>
    <w:p>
      <w:pPr>
        <w:spacing w:before="0" w:after="160" w:line="280" w:lineRule="auto"/>
        <w:numPr>
          <w:ilvl w:val="0"/>
          <w:numId w:val="10"/>
        </w:numPr>
      </w:pPr>
      <w:r>
        <w:rPr>
          <w:rFonts w:ascii="Calibri" w:hAnsi="Calibri"/>
          <w:color w:val="182433"/>
          <w:sz w:val="22"/>
        </w:rPr>
        <w:t>Explain deterministic findings in plain language.</w:t>
      </w:r>
    </w:p>
    <w:p>
      <w:pPr>
        <w:spacing w:before="0" w:after="160" w:line="280" w:lineRule="auto"/>
        <w:numPr>
          <w:ilvl w:val="0"/>
          <w:numId w:val="10"/>
        </w:numPr>
      </w:pPr>
      <w:r>
        <w:rPr>
          <w:rFonts w:ascii="Calibri" w:hAnsi="Calibri"/>
          <w:color w:val="182433"/>
          <w:sz w:val="22"/>
        </w:rPr>
        <w:t>Select an allowed strategy such as expand-and-contract or forward fix.</w:t>
      </w:r>
    </w:p>
    <w:p>
      <w:pPr>
        <w:spacing w:before="0" w:after="160" w:line="280" w:lineRule="auto"/>
        <w:numPr>
          <w:ilvl w:val="0"/>
          <w:numId w:val="10"/>
        </w:numPr>
      </w:pPr>
      <w:r>
        <w:rPr>
          <w:rFonts w:ascii="Calibri" w:hAnsi="Calibri"/>
          <w:color w:val="182433"/>
          <w:sz w:val="22"/>
        </w:rPr>
        <w:t>Propose candidate SQL phases.</w:t>
      </w:r>
    </w:p>
    <w:p>
      <w:pPr>
        <w:spacing w:before="0" w:after="160" w:line="280" w:lineRule="auto"/>
        <w:numPr>
          <w:ilvl w:val="0"/>
          <w:numId w:val="10"/>
        </w:numPr>
      </w:pPr>
      <w:r>
        <w:rPr>
          <w:rFonts w:ascii="Calibri" w:hAnsi="Calibri"/>
          <w:color w:val="182433"/>
          <w:sz w:val="22"/>
        </w:rPr>
        <w:t>Propose preconditions, verification queries, and recovery actions.</w:t>
      </w:r>
    </w:p>
    <w:p>
      <w:pPr>
        <w:spacing w:before="0" w:after="160" w:line="280" w:lineRule="auto"/>
        <w:numPr>
          <w:ilvl w:val="0"/>
          <w:numId w:val="10"/>
        </w:numPr>
      </w:pPr>
      <w:r>
        <w:rPr>
          <w:rFonts w:ascii="Calibri" w:hAnsi="Calibri"/>
          <w:color w:val="182433"/>
          <w:sz w:val="22"/>
        </w:rPr>
        <w:t>Explain why a plan failed deterministic verification.</w:t>
      </w:r>
    </w:p>
    <w:p>
      <w:pPr>
        <w:pStyle w:val="Heading2"/>
      </w:pPr>
      <w:r>
        <w:rPr>
          <w:rFonts w:ascii="Calibri" w:hAnsi="Calibri"/>
          <w:color w:val="2E74B5"/>
          <w:sz w:val="26"/>
        </w:rPr>
        <w:t>11.3 Prohibited AI responsibilities</w:t>
      </w:r>
    </w:p>
    <w:p>
      <w:pPr>
        <w:spacing w:before="0" w:after="160" w:line="280" w:lineRule="auto"/>
        <w:numPr>
          <w:ilvl w:val="0"/>
          <w:numId w:val="10"/>
        </w:numPr>
      </w:pPr>
      <w:r>
        <w:rPr>
          <w:rFonts w:ascii="Calibri" w:hAnsi="Calibri"/>
          <w:color w:val="182433"/>
          <w:sz w:val="22"/>
        </w:rPr>
        <w:t>Connect to any database.</w:t>
      </w:r>
    </w:p>
    <w:p>
      <w:pPr>
        <w:spacing w:before="0" w:after="160" w:line="280" w:lineRule="auto"/>
        <w:numPr>
          <w:ilvl w:val="0"/>
          <w:numId w:val="10"/>
        </w:numPr>
      </w:pPr>
      <w:r>
        <w:rPr>
          <w:rFonts w:ascii="Calibri" w:hAnsi="Calibri"/>
          <w:color w:val="182433"/>
          <w:sz w:val="22"/>
        </w:rPr>
        <w:t>Execute SQL directly.</w:t>
      </w:r>
    </w:p>
    <w:p>
      <w:pPr>
        <w:spacing w:before="0" w:after="160" w:line="280" w:lineRule="auto"/>
        <w:numPr>
          <w:ilvl w:val="0"/>
          <w:numId w:val="10"/>
        </w:numPr>
      </w:pPr>
      <w:r>
        <w:rPr>
          <w:rFonts w:ascii="Calibri" w:hAnsi="Calibri"/>
          <w:color w:val="182433"/>
          <w:sz w:val="22"/>
        </w:rPr>
        <w:t>Read raw fixture values.</w:t>
      </w:r>
    </w:p>
    <w:p>
      <w:pPr>
        <w:spacing w:before="0" w:after="160" w:line="280" w:lineRule="auto"/>
        <w:numPr>
          <w:ilvl w:val="0"/>
          <w:numId w:val="10"/>
        </w:numPr>
      </w:pPr>
      <w:r>
        <w:rPr>
          <w:rFonts w:ascii="Calibri" w:hAnsi="Calibri"/>
          <w:color w:val="182433"/>
          <w:sz w:val="22"/>
        </w:rPr>
        <w:t>Override deterministic findings.</w:t>
      </w:r>
    </w:p>
    <w:p>
      <w:pPr>
        <w:spacing w:before="0" w:after="160" w:line="280" w:lineRule="auto"/>
        <w:numPr>
          <w:ilvl w:val="0"/>
          <w:numId w:val="10"/>
        </w:numPr>
      </w:pPr>
      <w:r>
        <w:rPr>
          <w:rFonts w:ascii="Calibri" w:hAnsi="Calibri"/>
          <w:color w:val="182433"/>
          <w:sz w:val="22"/>
        </w:rPr>
        <w:t>Suppress unsupported or untested evidence.</w:t>
      </w:r>
    </w:p>
    <w:p>
      <w:pPr>
        <w:spacing w:before="0" w:after="160" w:line="280" w:lineRule="auto"/>
        <w:numPr>
          <w:ilvl w:val="0"/>
          <w:numId w:val="10"/>
        </w:numPr>
      </w:pPr>
      <w:r>
        <w:rPr>
          <w:rFonts w:ascii="Calibri" w:hAnsi="Calibri"/>
          <w:color w:val="182433"/>
          <w:sz w:val="22"/>
        </w:rPr>
        <w:t>Mark a migration safe or verified.</w:t>
      </w:r>
    </w:p>
    <w:p>
      <w:pPr>
        <w:spacing w:before="0" w:after="160" w:line="280" w:lineRule="auto"/>
        <w:numPr>
          <w:ilvl w:val="0"/>
          <w:numId w:val="10"/>
        </w:numPr>
      </w:pPr>
      <w:r>
        <w:rPr>
          <w:rFonts w:ascii="Calibri" w:hAnsi="Calibri"/>
          <w:color w:val="182433"/>
          <w:sz w:val="22"/>
        </w:rPr>
        <w:t>Deploy, commit, or modify the user's project.</w:t>
      </w:r>
    </w:p>
    <w:p>
      <w:pPr>
        <w:pStyle w:val="Heading2"/>
      </w:pPr>
      <w:r>
        <w:rPr>
          <w:rFonts w:ascii="Calibri" w:hAnsi="Calibri"/>
          <w:color w:val="2E74B5"/>
          <w:sz w:val="26"/>
        </w:rPr>
        <w:t>11.4 Recovery plan contract</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9360"/>
      </w:tblGrid>
      <w:tr>
        <w:tc>
          <w:tcPr>
            <w:tcW w:type="dxa" w:w="9360"/>
            <w:vAlign w:val="center"/>
            <w:tcMar>
              <w:top w:w="80" w:type="dxa"/>
              <w:start w:w="120" w:type="dxa"/>
              <w:bottom w:w="80" w:type="dxa"/>
              <w:end w:w="120" w:type="dxa"/>
            </w:tcMar>
            <w:shd w:fill="F7F8FA"/>
          </w:tcPr>
          <w:p>
            <w:pPr>
              <w:spacing w:before="0" w:after="0" w:line="240" w:lineRule="auto"/>
            </w:pPr>
            <w:r/>
            <w:r>
              <w:rPr>
                <w:rFonts w:ascii="Consolas" w:hAnsi="Consolas"/>
                <w:color w:val="26374A"/>
                <w:sz w:val="17"/>
              </w:rPr>
              <w:t>{</w:t>
            </w:r>
          </w:p>
          <w:p>
            <w:pPr>
              <w:spacing w:before="0" w:after="0" w:line="240" w:lineRule="auto"/>
            </w:pPr>
            <w:r>
              <w:rPr>
                <w:rFonts w:ascii="Consolas" w:hAnsi="Consolas"/>
                <w:color w:val="26374A"/>
                <w:sz w:val="17"/>
              </w:rPr>
              <w:t xml:space="preserve">  "risk_summary": "Required column added to a populated table",</w:t>
            </w:r>
          </w:p>
          <w:p>
            <w:pPr>
              <w:spacing w:before="0" w:after="0" w:line="240" w:lineRule="auto"/>
            </w:pPr>
            <w:r>
              <w:rPr>
                <w:rFonts w:ascii="Consolas" w:hAnsi="Consolas"/>
                <w:color w:val="26374A"/>
                <w:sz w:val="17"/>
              </w:rPr>
              <w:t xml:space="preserve">  "strategy": "expand_contract",</w:t>
            </w:r>
          </w:p>
          <w:p>
            <w:pPr>
              <w:spacing w:before="0" w:after="0" w:line="240" w:lineRule="auto"/>
            </w:pPr>
            <w:r>
              <w:rPr>
                <w:rFonts w:ascii="Consolas" w:hAnsi="Consolas"/>
                <w:color w:val="26374A"/>
                <w:sz w:val="17"/>
              </w:rPr>
              <w:t xml:space="preserve">  "assumptions": ["The application can tolerate NULL phone values during transition"],</w:t>
            </w:r>
          </w:p>
          <w:p>
            <w:pPr>
              <w:spacing w:before="0" w:after="0" w:line="240" w:lineRule="auto"/>
            </w:pPr>
            <w:r>
              <w:rPr>
                <w:rFonts w:ascii="Consolas" w:hAnsi="Consolas"/>
                <w:color w:val="26374A"/>
                <w:sz w:val="17"/>
              </w:rPr>
              <w:t xml:space="preserve">  "phases": [</w:t>
            </w:r>
          </w:p>
          <w:p>
            <w:pPr>
              <w:spacing w:before="0" w:after="0" w:line="240" w:lineRule="auto"/>
            </w:pPr>
            <w:r>
              <w:rPr>
                <w:rFonts w:ascii="Consolas" w:hAnsi="Consolas"/>
                <w:color w:val="26374A"/>
                <w:sz w:val="17"/>
              </w:rPr>
              <w:t xml:space="preserve">    {</w:t>
            </w:r>
          </w:p>
          <w:p>
            <w:pPr>
              <w:spacing w:before="0" w:after="0" w:line="240" w:lineRule="auto"/>
            </w:pPr>
            <w:r>
              <w:rPr>
                <w:rFonts w:ascii="Consolas" w:hAnsi="Consolas"/>
                <w:color w:val="26374A"/>
                <w:sz w:val="17"/>
              </w:rPr>
              <w:t xml:space="preserve">      "name": "expand",</w:t>
            </w:r>
          </w:p>
          <w:p>
            <w:pPr>
              <w:spacing w:before="0" w:after="0" w:line="240" w:lineRule="auto"/>
            </w:pPr>
            <w:r>
              <w:rPr>
                <w:rFonts w:ascii="Consolas" w:hAnsi="Consolas"/>
                <w:color w:val="26374A"/>
                <w:sz w:val="17"/>
              </w:rPr>
              <w:t xml:space="preserve">      "purpose": "Add a backward-compatible nullable column",</w:t>
            </w:r>
          </w:p>
          <w:p>
            <w:pPr>
              <w:spacing w:before="0" w:after="0" w:line="240" w:lineRule="auto"/>
            </w:pPr>
            <w:r>
              <w:rPr>
                <w:rFonts w:ascii="Consolas" w:hAnsi="Consolas"/>
                <w:color w:val="26374A"/>
                <w:sz w:val="17"/>
              </w:rPr>
              <w:t xml:space="preserve">      "sql": ["ALTER TABLE users ADD COLUMN phone TEXT"],</w:t>
            </w:r>
          </w:p>
          <w:p>
            <w:pPr>
              <w:spacing w:before="0" w:after="0" w:line="240" w:lineRule="auto"/>
            </w:pPr>
            <w:r>
              <w:rPr>
                <w:rFonts w:ascii="Consolas" w:hAnsi="Consolas"/>
                <w:color w:val="26374A"/>
                <w:sz w:val="17"/>
              </w:rPr>
              <w:t xml:space="preserve">      "preconditions": ["users table exists"],</w:t>
            </w:r>
          </w:p>
          <w:p>
            <w:pPr>
              <w:spacing w:before="0" w:after="0" w:line="240" w:lineRule="auto"/>
            </w:pPr>
            <w:r>
              <w:rPr>
                <w:rFonts w:ascii="Consolas" w:hAnsi="Consolas"/>
                <w:color w:val="26374A"/>
                <w:sz w:val="17"/>
              </w:rPr>
              <w:t xml:space="preserve">      "verification_sql": ["SELECT COUNT(*) FROM users WHERE phone IS NULL"],</w:t>
            </w:r>
          </w:p>
          <w:p>
            <w:pPr>
              <w:spacing w:before="0" w:after="0" w:line="240" w:lineRule="auto"/>
            </w:pPr>
            <w:r>
              <w:rPr>
                <w:rFonts w:ascii="Consolas" w:hAnsi="Consolas"/>
                <w:color w:val="26374A"/>
                <w:sz w:val="17"/>
              </w:rPr>
              <w:t xml:space="preserve">      "expected": "Known baseline count",</w:t>
            </w:r>
          </w:p>
          <w:p>
            <w:pPr>
              <w:spacing w:before="0" w:after="0" w:line="240" w:lineRule="auto"/>
            </w:pPr>
            <w:r>
              <w:rPr>
                <w:rFonts w:ascii="Consolas" w:hAnsi="Consolas"/>
                <w:color w:val="26374A"/>
                <w:sz w:val="17"/>
              </w:rPr>
              <w:t xml:space="preserve">      "recovery_action": "Drop the new column only if no trusted values have been written"</w:t>
            </w:r>
          </w:p>
          <w:p>
            <w:pPr>
              <w:spacing w:before="0" w:after="0" w:line="240" w:lineRule="auto"/>
            </w:pPr>
            <w:r>
              <w:rPr>
                <w:rFonts w:ascii="Consolas" w:hAnsi="Consolas"/>
                <w:color w:val="26374A"/>
                <w:sz w:val="17"/>
              </w:rPr>
              <w:t xml:space="preserve">    }</w:t>
            </w:r>
          </w:p>
          <w:p>
            <w:pPr>
              <w:spacing w:before="0" w:after="0" w:line="240" w:lineRule="auto"/>
            </w:pPr>
            <w:r>
              <w:rPr>
                <w:rFonts w:ascii="Consolas" w:hAnsi="Consolas"/>
                <w:color w:val="26374A"/>
                <w:sz w:val="17"/>
              </w:rPr>
              <w:t xml:space="preserve">  ]</w:t>
            </w:r>
          </w:p>
          <w:p>
            <w:pPr>
              <w:spacing w:before="0" w:after="0" w:line="240" w:lineRule="auto"/>
            </w:pPr>
            <w:r>
              <w:rPr>
                <w:rFonts w:ascii="Consolas" w:hAnsi="Consolas"/>
                <w:color w:val="26374A"/>
                <w:sz w:val="17"/>
              </w:rPr>
              <w:t>}</w:t>
            </w:r>
          </w:p>
        </w:tc>
      </w:tr>
    </w:tbl>
    <w:p>
      <w:pPr>
        <w:spacing w:after="20"/>
      </w:pPr>
    </w:p>
    <w:p>
      <w:r>
        <w:rPr>
          <w:rFonts w:ascii="Calibri" w:hAnsi="Calibri"/>
          <w:color w:val="182433"/>
          <w:sz w:val="22"/>
        </w:rPr>
        <w:t xml:space="preserve">The plan is displayed as </w:t>
      </w:r>
      <w:r>
        <w:rPr>
          <w:rFonts w:ascii="Consolas" w:hAnsi="Consolas"/>
          <w:color w:val="1F4D78"/>
          <w:sz w:val="21"/>
          <w:shd w:fill="EEF2F6"/>
        </w:rPr>
        <w:t>UNVERIFIED_CANDIDATE</w:t>
      </w:r>
      <w:r>
        <w:rPr>
          <w:rFonts w:ascii="Calibri" w:hAnsi="Calibri"/>
          <w:color w:val="182433"/>
          <w:sz w:val="22"/>
        </w:rPr>
        <w:t xml:space="preserve"> until policy validation and fresh-sandbox execution finish.</w:t>
      </w:r>
    </w:p>
    <w:p>
      <w:r>
        <w:br w:type="page"/>
      </w:r>
    </w:p>
    <w:p>
      <w:pPr>
        <w:pStyle w:val="Heading1"/>
      </w:pPr>
      <w:r>
        <w:rPr>
          <w:rFonts w:ascii="Calibri" w:hAnsi="Calibri"/>
          <w:color w:val="2E74B5"/>
          <w:sz w:val="32"/>
        </w:rPr>
        <w:t>12. Public API</w:t>
      </w:r>
    </w:p>
    <w:p>
      <w:r>
        <w:rPr>
          <w:rFonts w:ascii="Calibri" w:hAnsi="Calibri"/>
          <w:color w:val="182433"/>
          <w:sz w:val="22"/>
        </w:rPr>
        <w:t xml:space="preserve">All MVP endpoints use </w:t>
      </w:r>
      <w:r>
        <w:rPr>
          <w:rFonts w:ascii="Consolas" w:hAnsi="Consolas"/>
          <w:color w:val="1F4D78"/>
          <w:sz w:val="21"/>
          <w:shd w:fill="EEF2F6"/>
        </w:rPr>
        <w:t>/api/v1</w:t>
      </w:r>
      <w:r>
        <w:rPr>
          <w:rFonts w:ascii="Calibri" w:hAnsi="Calibri"/>
          <w:color w:val="182433"/>
          <w:sz w:val="22"/>
        </w:rPr>
        <w:t>. Analysis IDs and plan IDs are opaque UUIDv4 values. The hackathon version is anonymous; possession of the ID is required to access a report, and reports expire after 24 hours.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947"/>
        <w:gridCol w:w="3206"/>
        <w:gridCol w:w="3207"/>
      </w:tblGrid>
      <w:tr>
        <w:trPr>
          <w:tblHeader w:val="true"/>
        </w:trPr>
        <w:tc>
          <w:tcPr>
            <w:tcW w:type="dxa" w:w="2947"/>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Method and path</w:t>
            </w:r>
          </w:p>
        </w:tc>
        <w:tc>
          <w:tcPr>
            <w:tcW w:type="dxa" w:w="3206"/>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Purpose</w:t>
            </w:r>
          </w:p>
        </w:tc>
        <w:tc>
          <w:tcPr>
            <w:tcW w:type="dxa" w:w="3207"/>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Success response</w:t>
            </w:r>
          </w:p>
        </w:tc>
      </w:tr>
      <w:tr>
        <w:tc>
          <w:tcPr>
            <w:tcW w:type="dxa" w:w="294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POST /api/v1/analyses</w:t>
            </w:r>
          </w:p>
        </w:tc>
        <w:tc>
          <w:tcPr>
            <w:tcW w:type="dxa" w:w="3206"/>
            <w:vAlign w:val="center"/>
            <w:tcMar>
              <w:top w:w="80" w:type="dxa"/>
              <w:start w:w="120" w:type="dxa"/>
              <w:bottom w:w="80" w:type="dxa"/>
              <w:end w:w="120" w:type="dxa"/>
            </w:tcMar>
          </w:tcPr>
          <w:p>
            <w:pPr>
              <w:spacing w:before="0" w:after="40" w:line="252" w:lineRule="auto"/>
            </w:pPr>
            <w:r>
              <w:rPr>
                <w:rFonts w:ascii="Calibri" w:hAnsi="Calibri"/>
                <w:color w:val="182433"/>
                <w:sz w:val="18"/>
              </w:rPr>
              <w:t>Upload and validate the project archive.</w:t>
            </w:r>
          </w:p>
        </w:tc>
        <w:tc>
          <w:tcPr>
            <w:tcW w:type="dxa" w:w="320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201</w:t>
            </w:r>
            <w:r>
              <w:rPr>
                <w:rFonts w:ascii="Calibri" w:hAnsi="Calibri"/>
                <w:color w:val="182433"/>
                <w:sz w:val="18"/>
              </w:rPr>
              <w:t xml:space="preserve"> with analysis ID, discovered migrations, and evidence readiness.</w:t>
            </w:r>
          </w:p>
        </w:tc>
      </w:tr>
      <w:tr>
        <w:tc>
          <w:tcPr>
            <w:tcW w:type="dxa" w:w="294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POST /api/v1/analyses/{id}/run</w:t>
            </w:r>
          </w:p>
        </w:tc>
        <w:tc>
          <w:tcPr>
            <w:tcW w:type="dxa" w:w="3206"/>
            <w:vAlign w:val="center"/>
            <w:tcMar>
              <w:top w:w="80" w:type="dxa"/>
              <w:start w:w="120" w:type="dxa"/>
              <w:bottom w:w="80" w:type="dxa"/>
              <w:end w:w="120" w:type="dxa"/>
            </w:tcMar>
          </w:tcPr>
          <w:p>
            <w:pPr>
              <w:spacing w:before="0" w:after="40" w:line="252" w:lineRule="auto"/>
            </w:pPr>
            <w:r>
              <w:rPr>
                <w:rFonts w:ascii="Calibri" w:hAnsi="Calibri"/>
                <w:color w:val="182433"/>
                <w:sz w:val="18"/>
              </w:rPr>
              <w:t>Run static analysis and supported simulations synchronously.</w:t>
            </w:r>
          </w:p>
        </w:tc>
        <w:tc>
          <w:tcPr>
            <w:tcW w:type="dxa" w:w="320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200</w:t>
            </w:r>
            <w:r>
              <w:rPr>
                <w:rFonts w:ascii="Calibri" w:hAnsi="Calibri"/>
                <w:color w:val="182433"/>
                <w:sz w:val="18"/>
              </w:rPr>
              <w:t xml:space="preserve"> with verdict and evidence summary.</w:t>
            </w:r>
          </w:p>
        </w:tc>
      </w:tr>
      <w:tr>
        <w:tc>
          <w:tcPr>
            <w:tcW w:type="dxa" w:w="294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GET /api/v1/analyses/{id}</w:t>
            </w:r>
          </w:p>
        </w:tc>
        <w:tc>
          <w:tcPr>
            <w:tcW w:type="dxa" w:w="3206"/>
            <w:vAlign w:val="center"/>
            <w:tcMar>
              <w:top w:w="80" w:type="dxa"/>
              <w:start w:w="120" w:type="dxa"/>
              <w:bottom w:w="80" w:type="dxa"/>
              <w:end w:w="120" w:type="dxa"/>
            </w:tcMar>
          </w:tcPr>
          <w:p>
            <w:pPr>
              <w:spacing w:before="0" w:after="40" w:line="252" w:lineRule="auto"/>
            </w:pPr>
            <w:r>
              <w:rPr>
                <w:rFonts w:ascii="Calibri" w:hAnsi="Calibri"/>
                <w:color w:val="182433"/>
                <w:sz w:val="18"/>
              </w:rPr>
              <w:t>Retrieve status, findings, and evidence.</w:t>
            </w:r>
          </w:p>
        </w:tc>
        <w:tc>
          <w:tcPr>
            <w:tcW w:type="dxa" w:w="320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200</w:t>
            </w:r>
            <w:r>
              <w:rPr>
                <w:rFonts w:ascii="Calibri" w:hAnsi="Calibri"/>
                <w:color w:val="182433"/>
                <w:sz w:val="18"/>
              </w:rPr>
              <w:t xml:space="preserve"> analysis detail.</w:t>
            </w:r>
          </w:p>
        </w:tc>
      </w:tr>
      <w:tr>
        <w:tc>
          <w:tcPr>
            <w:tcW w:type="dxa" w:w="294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GET /api/v1/analyses/{id}/timeline</w:t>
            </w:r>
          </w:p>
        </w:tc>
        <w:tc>
          <w:tcPr>
            <w:tcW w:type="dxa" w:w="3206"/>
            <w:vAlign w:val="center"/>
            <w:tcMar>
              <w:top w:w="80" w:type="dxa"/>
              <w:start w:w="120" w:type="dxa"/>
              <w:bottom w:w="80" w:type="dxa"/>
              <w:end w:w="120" w:type="dxa"/>
            </w:tcMar>
          </w:tcPr>
          <w:p>
            <w:pPr>
              <w:spacing w:before="0" w:after="40" w:line="252" w:lineRule="auto"/>
            </w:pPr>
            <w:r>
              <w:rPr>
                <w:rFonts w:ascii="Calibri" w:hAnsi="Calibri"/>
                <w:color w:val="182433"/>
                <w:sz w:val="18"/>
              </w:rPr>
              <w:t>Retrieve ordered simulation events.</w:t>
            </w:r>
          </w:p>
        </w:tc>
        <w:tc>
          <w:tcPr>
            <w:tcW w:type="dxa" w:w="320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200</w:t>
            </w:r>
            <w:r>
              <w:rPr>
                <w:rFonts w:ascii="Calibri" w:hAnsi="Calibri"/>
                <w:color w:val="182433"/>
                <w:sz w:val="18"/>
              </w:rPr>
              <w:t xml:space="preserve"> timeline event array.</w:t>
            </w:r>
          </w:p>
        </w:tc>
      </w:tr>
      <w:tr>
        <w:tc>
          <w:tcPr>
            <w:tcW w:type="dxa" w:w="294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POST /api/v1/analyses/{id}/plans</w:t>
            </w:r>
          </w:p>
        </w:tc>
        <w:tc>
          <w:tcPr>
            <w:tcW w:type="dxa" w:w="3206"/>
            <w:vAlign w:val="center"/>
            <w:tcMar>
              <w:top w:w="80" w:type="dxa"/>
              <w:start w:w="120" w:type="dxa"/>
              <w:bottom w:w="80" w:type="dxa"/>
              <w:end w:w="120" w:type="dxa"/>
            </w:tcMar>
          </w:tcPr>
          <w:p>
            <w:pPr>
              <w:spacing w:before="0" w:after="40" w:line="252" w:lineRule="auto"/>
            </w:pPr>
            <w:r>
              <w:rPr>
                <w:rFonts w:ascii="Calibri" w:hAnsi="Calibri"/>
                <w:color w:val="182433"/>
                <w:sz w:val="18"/>
              </w:rPr>
              <w:t>Generate an unverified recovery plan.</w:t>
            </w:r>
          </w:p>
        </w:tc>
        <w:tc>
          <w:tcPr>
            <w:tcW w:type="dxa" w:w="320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201</w:t>
            </w:r>
            <w:r>
              <w:rPr>
                <w:rFonts w:ascii="Calibri" w:hAnsi="Calibri"/>
                <w:color w:val="182433"/>
                <w:sz w:val="18"/>
              </w:rPr>
              <w:t xml:space="preserve"> plan ID and candidate plan.</w:t>
            </w:r>
          </w:p>
        </w:tc>
      </w:tr>
      <w:tr>
        <w:tc>
          <w:tcPr>
            <w:tcW w:type="dxa" w:w="294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POST /api/v1/analyses/{id}/plans/{plan_id}/verify</w:t>
            </w:r>
          </w:p>
        </w:tc>
        <w:tc>
          <w:tcPr>
            <w:tcW w:type="dxa" w:w="3206"/>
            <w:vAlign w:val="center"/>
            <w:tcMar>
              <w:top w:w="80" w:type="dxa"/>
              <w:start w:w="120" w:type="dxa"/>
              <w:bottom w:w="80" w:type="dxa"/>
              <w:end w:w="120" w:type="dxa"/>
            </w:tcMar>
          </w:tcPr>
          <w:p>
            <w:pPr>
              <w:spacing w:before="0" w:after="40" w:line="252" w:lineRule="auto"/>
            </w:pPr>
            <w:r>
              <w:rPr>
                <w:rFonts w:ascii="Calibri" w:hAnsi="Calibri"/>
                <w:color w:val="182433"/>
                <w:sz w:val="18"/>
              </w:rPr>
              <w:t>Verify a plan from a clean baseline.</w:t>
            </w:r>
          </w:p>
        </w:tc>
        <w:tc>
          <w:tcPr>
            <w:tcW w:type="dxa" w:w="320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200</w:t>
            </w:r>
            <w:r>
              <w:rPr>
                <w:rFonts w:ascii="Calibri" w:hAnsi="Calibri"/>
                <w:color w:val="182433"/>
                <w:sz w:val="18"/>
              </w:rPr>
              <w:t xml:space="preserve"> verification result and updated report verdict.</w:t>
            </w:r>
          </w:p>
        </w:tc>
      </w:tr>
      <w:tr>
        <w:tc>
          <w:tcPr>
            <w:tcW w:type="dxa" w:w="294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GET /api/v1/analyses/{id}/report</w:t>
            </w:r>
          </w:p>
        </w:tc>
        <w:tc>
          <w:tcPr>
            <w:tcW w:type="dxa" w:w="3206"/>
            <w:vAlign w:val="center"/>
            <w:tcMar>
              <w:top w:w="80" w:type="dxa"/>
              <w:start w:w="120" w:type="dxa"/>
              <w:bottom w:w="80" w:type="dxa"/>
              <w:end w:w="120" w:type="dxa"/>
            </w:tcMar>
          </w:tcPr>
          <w:p>
            <w:pPr>
              <w:spacing w:before="0" w:after="40" w:line="252" w:lineRule="auto"/>
            </w:pPr>
            <w:r>
              <w:rPr>
                <w:rFonts w:ascii="Calibri" w:hAnsi="Calibri"/>
                <w:color w:val="182433"/>
                <w:sz w:val="18"/>
              </w:rPr>
              <w:t>Retrieve the sanitized final report.</w:t>
            </w:r>
          </w:p>
        </w:tc>
        <w:tc>
          <w:tcPr>
            <w:tcW w:type="dxa" w:w="320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200</w:t>
            </w:r>
            <w:r>
              <w:rPr>
                <w:rFonts w:ascii="Calibri" w:hAnsi="Calibri"/>
                <w:color w:val="182433"/>
                <w:sz w:val="18"/>
              </w:rPr>
              <w:t xml:space="preserve"> report document payload.</w:t>
            </w:r>
          </w:p>
        </w:tc>
      </w:tr>
      <w:tr>
        <w:tc>
          <w:tcPr>
            <w:tcW w:type="dxa" w:w="294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DELETE /api/v1/analyses/{id}</w:t>
            </w:r>
          </w:p>
        </w:tc>
        <w:tc>
          <w:tcPr>
            <w:tcW w:type="dxa" w:w="3206"/>
            <w:vAlign w:val="center"/>
            <w:tcMar>
              <w:top w:w="80" w:type="dxa"/>
              <w:start w:w="120" w:type="dxa"/>
              <w:bottom w:w="80" w:type="dxa"/>
              <w:end w:w="120" w:type="dxa"/>
            </w:tcMar>
          </w:tcPr>
          <w:p>
            <w:pPr>
              <w:spacing w:before="0" w:after="40" w:line="252" w:lineRule="auto"/>
            </w:pPr>
            <w:r>
              <w:rPr>
                <w:rFonts w:ascii="Calibri" w:hAnsi="Calibri"/>
                <w:color w:val="182433"/>
                <w:sz w:val="18"/>
              </w:rPr>
              <w:t>Delete report metadata immediately.</w:t>
            </w:r>
          </w:p>
        </w:tc>
        <w:tc>
          <w:tcPr>
            <w:tcW w:type="dxa" w:w="3207"/>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204</w:t>
            </w:r>
            <w:r>
              <w:rPr>
                <w:rFonts w:ascii="Calibri" w:hAnsi="Calibri"/>
                <w:color w:val="182433"/>
                <w:sz w:val="18"/>
              </w:rPr>
              <w:t>.</w:t>
            </w:r>
          </w:p>
        </w:tc>
      </w:tr>
    </w:tbl>
    <w:p>
      <w:pPr>
        <w:spacing w:after="40"/>
      </w:pPr>
    </w:p>
    <w:p>
      <w:pPr>
        <w:pStyle w:val="Heading2"/>
      </w:pPr>
      <w:r>
        <w:rPr>
          <w:rFonts w:ascii="Calibri" w:hAnsi="Calibri"/>
          <w:color w:val="2E74B5"/>
          <w:sz w:val="26"/>
        </w:rPr>
        <w:t>12.1 Create-analysis request</w:t>
      </w:r>
    </w:p>
    <w:p>
      <w:r>
        <w:rPr>
          <w:rFonts w:ascii="Consolas" w:hAnsi="Consolas"/>
          <w:color w:val="1F4D78"/>
          <w:sz w:val="21"/>
          <w:shd w:fill="EEF2F6"/>
        </w:rPr>
        <w:t>multipart/form-data</w:t>
      </w:r>
      <w:r>
        <w:rPr>
          <w:rFonts w:ascii="Calibri" w:hAnsi="Calibri"/>
          <w:color w:val="182433"/>
          <w:sz w:val="22"/>
        </w:rPr>
        <w:t xml:space="preserve"> fields:</w:t>
      </w:r>
    </w:p>
    <w:p>
      <w:pPr>
        <w:spacing w:before="0" w:after="160" w:line="280" w:lineRule="auto"/>
        <w:numPr>
          <w:ilvl w:val="0"/>
          <w:numId w:val="10"/>
        </w:numPr>
      </w:pPr>
      <w:r>
        <w:rPr>
          <w:rFonts w:ascii="Consolas" w:hAnsi="Consolas"/>
          <w:color w:val="1F4D78"/>
          <w:sz w:val="21"/>
          <w:shd w:fill="EEF2F6"/>
        </w:rPr>
        <w:t>project_bundle</w:t>
      </w:r>
      <w:r>
        <w:rPr>
          <w:rFonts w:ascii="Calibri" w:hAnsi="Calibri"/>
          <w:color w:val="182433"/>
          <w:sz w:val="22"/>
        </w:rPr>
        <w:t xml:space="preserve">: required </w:t>
      </w:r>
      <w:r>
        <w:rPr>
          <w:rFonts w:ascii="Consolas" w:hAnsi="Consolas"/>
          <w:color w:val="1F4D78"/>
          <w:sz w:val="21"/>
          <w:shd w:fill="EEF2F6"/>
        </w:rPr>
        <w:t>.zip</w:t>
      </w:r>
      <w:r>
        <w:rPr>
          <w:rFonts w:ascii="Calibri" w:hAnsi="Calibri"/>
          <w:color w:val="182433"/>
          <w:sz w:val="22"/>
        </w:rPr>
        <w:t xml:space="preserve"> file.</w:t>
      </w:r>
    </w:p>
    <w:p>
      <w:pPr>
        <w:spacing w:before="0" w:after="160" w:line="280" w:lineRule="auto"/>
        <w:numPr>
          <w:ilvl w:val="0"/>
          <w:numId w:val="10"/>
        </w:numPr>
      </w:pPr>
      <w:r>
        <w:rPr>
          <w:rFonts w:ascii="Consolas" w:hAnsi="Consolas"/>
          <w:color w:val="1F4D78"/>
          <w:sz w:val="21"/>
          <w:shd w:fill="EEF2F6"/>
        </w:rPr>
        <w:t>candidate_migration</w:t>
      </w:r>
      <w:r>
        <w:rPr>
          <w:rFonts w:ascii="Calibri" w:hAnsi="Calibri"/>
          <w:color w:val="182433"/>
          <w:sz w:val="22"/>
        </w:rPr>
        <w:t>: required migration-folder basename.</w:t>
      </w:r>
    </w:p>
    <w:p>
      <w:pPr>
        <w:spacing w:before="0" w:after="160" w:line="280" w:lineRule="auto"/>
        <w:numPr>
          <w:ilvl w:val="0"/>
          <w:numId w:val="10"/>
        </w:numPr>
      </w:pPr>
      <w:r>
        <w:rPr>
          <w:rFonts w:ascii="Consolas" w:hAnsi="Consolas"/>
          <w:color w:val="1F4D78"/>
          <w:sz w:val="21"/>
          <w:shd w:fill="EEF2F6"/>
        </w:rPr>
        <w:t>use_demo</w:t>
      </w:r>
      <w:r>
        <w:rPr>
          <w:rFonts w:ascii="Calibri" w:hAnsi="Calibri"/>
          <w:color w:val="182433"/>
          <w:sz w:val="22"/>
        </w:rPr>
        <w:t xml:space="preserve">: optional boolean; mutually exclusive with </w:t>
      </w:r>
      <w:r>
        <w:rPr>
          <w:rFonts w:ascii="Consolas" w:hAnsi="Consolas"/>
          <w:color w:val="1F4D78"/>
          <w:sz w:val="21"/>
          <w:shd w:fill="EEF2F6"/>
        </w:rPr>
        <w:t>project_bundle</w:t>
      </w:r>
      <w:r>
        <w:rPr>
          <w:rFonts w:ascii="Calibri" w:hAnsi="Calibri"/>
          <w:color w:val="182433"/>
          <w:sz w:val="22"/>
        </w:rPr>
        <w:t>.</w:t>
      </w:r>
    </w:p>
    <w:p>
      <w:pPr>
        <w:pStyle w:val="Heading2"/>
      </w:pPr>
      <w:r>
        <w:rPr>
          <w:rFonts w:ascii="Calibri" w:hAnsi="Calibri"/>
          <w:color w:val="2E74B5"/>
          <w:sz w:val="26"/>
        </w:rPr>
        <w:t>12.2 Core Pydantic types</w:t>
      </w:r>
    </w:p>
    <w:p>
      <w:pPr>
        <w:spacing w:before="0" w:after="160" w:line="280" w:lineRule="auto"/>
        <w:numPr>
          <w:ilvl w:val="0"/>
          <w:numId w:val="10"/>
        </w:numPr>
      </w:pPr>
      <w:r>
        <w:rPr>
          <w:rFonts w:ascii="Consolas" w:hAnsi="Consolas"/>
          <w:color w:val="1F4D78"/>
          <w:sz w:val="21"/>
          <w:shd w:fill="EEF2F6"/>
        </w:rPr>
        <w:t>ArtifactManifest</w:t>
      </w:r>
    </w:p>
    <w:p>
      <w:pPr>
        <w:spacing w:before="0" w:after="160" w:line="280" w:lineRule="auto"/>
        <w:numPr>
          <w:ilvl w:val="0"/>
          <w:numId w:val="10"/>
        </w:numPr>
      </w:pPr>
      <w:r>
        <w:rPr>
          <w:rFonts w:ascii="Consolas" w:hAnsi="Consolas"/>
          <w:color w:val="1F4D78"/>
          <w:sz w:val="21"/>
          <w:shd w:fill="EEF2F6"/>
        </w:rPr>
        <w:t>MigrationArtifact</w:t>
      </w:r>
    </w:p>
    <w:p>
      <w:pPr>
        <w:spacing w:before="0" w:after="160" w:line="280" w:lineRule="auto"/>
        <w:numPr>
          <w:ilvl w:val="0"/>
          <w:numId w:val="10"/>
        </w:numPr>
      </w:pPr>
      <w:r>
        <w:rPr>
          <w:rFonts w:ascii="Consolas" w:hAnsi="Consolas"/>
          <w:color w:val="1F4D78"/>
          <w:sz w:val="21"/>
          <w:shd w:fill="EEF2F6"/>
        </w:rPr>
        <w:t>RiskFinding</w:t>
      </w:r>
    </w:p>
    <w:p>
      <w:pPr>
        <w:spacing w:before="0" w:after="160" w:line="280" w:lineRule="auto"/>
        <w:numPr>
          <w:ilvl w:val="0"/>
          <w:numId w:val="10"/>
        </w:numPr>
      </w:pPr>
      <w:r>
        <w:rPr>
          <w:rFonts w:ascii="Consolas" w:hAnsi="Consolas"/>
          <w:color w:val="1F4D78"/>
          <w:sz w:val="21"/>
          <w:shd w:fill="EEF2F6"/>
        </w:rPr>
        <w:t>EvidenceDimension</w:t>
      </w:r>
    </w:p>
    <w:p>
      <w:pPr>
        <w:spacing w:before="0" w:after="160" w:line="280" w:lineRule="auto"/>
        <w:numPr>
          <w:ilvl w:val="0"/>
          <w:numId w:val="10"/>
        </w:numPr>
      </w:pPr>
      <w:r>
        <w:rPr>
          <w:rFonts w:ascii="Consolas" w:hAnsi="Consolas"/>
          <w:color w:val="1F4D78"/>
          <w:sz w:val="21"/>
          <w:shd w:fill="EEF2F6"/>
        </w:rPr>
        <w:t>SimulationRun</w:t>
      </w:r>
    </w:p>
    <w:p>
      <w:pPr>
        <w:spacing w:before="0" w:after="160" w:line="280" w:lineRule="auto"/>
        <w:numPr>
          <w:ilvl w:val="0"/>
          <w:numId w:val="10"/>
        </w:numPr>
      </w:pPr>
      <w:r>
        <w:rPr>
          <w:rFonts w:ascii="Consolas" w:hAnsi="Consolas"/>
          <w:color w:val="1F4D78"/>
          <w:sz w:val="21"/>
          <w:shd w:fill="EEF2F6"/>
        </w:rPr>
        <w:t>LegacyQueryResult</w:t>
      </w:r>
    </w:p>
    <w:p>
      <w:pPr>
        <w:spacing w:before="0" w:after="160" w:line="280" w:lineRule="auto"/>
        <w:numPr>
          <w:ilvl w:val="0"/>
          <w:numId w:val="10"/>
        </w:numPr>
      </w:pPr>
      <w:r>
        <w:rPr>
          <w:rFonts w:ascii="Consolas" w:hAnsi="Consolas"/>
          <w:color w:val="1F4D78"/>
          <w:sz w:val="21"/>
          <w:shd w:fill="EEF2F6"/>
        </w:rPr>
        <w:t>SnapshotSummary</w:t>
      </w:r>
    </w:p>
    <w:p>
      <w:pPr>
        <w:spacing w:before="0" w:after="160" w:line="280" w:lineRule="auto"/>
        <w:numPr>
          <w:ilvl w:val="0"/>
          <w:numId w:val="10"/>
        </w:numPr>
      </w:pPr>
      <w:r>
        <w:rPr>
          <w:rFonts w:ascii="Consolas" w:hAnsi="Consolas"/>
          <w:color w:val="1F4D78"/>
          <w:sz w:val="21"/>
          <w:shd w:fill="EEF2F6"/>
        </w:rPr>
        <w:t>RecoveryAssessment</w:t>
      </w:r>
    </w:p>
    <w:p>
      <w:pPr>
        <w:spacing w:before="0" w:after="160" w:line="280" w:lineRule="auto"/>
        <w:numPr>
          <w:ilvl w:val="0"/>
          <w:numId w:val="10"/>
        </w:numPr>
      </w:pPr>
      <w:r>
        <w:rPr>
          <w:rFonts w:ascii="Consolas" w:hAnsi="Consolas"/>
          <w:color w:val="1F4D78"/>
          <w:sz w:val="21"/>
          <w:shd w:fill="EEF2F6"/>
        </w:rPr>
        <w:t>RecoveryPlan</w:t>
      </w:r>
    </w:p>
    <w:p>
      <w:pPr>
        <w:spacing w:before="0" w:after="160" w:line="280" w:lineRule="auto"/>
        <w:numPr>
          <w:ilvl w:val="0"/>
          <w:numId w:val="10"/>
        </w:numPr>
      </w:pPr>
      <w:r>
        <w:rPr>
          <w:rFonts w:ascii="Consolas" w:hAnsi="Consolas"/>
          <w:color w:val="1F4D78"/>
          <w:sz w:val="21"/>
          <w:shd w:fill="EEF2F6"/>
        </w:rPr>
        <w:t>PlanPhase</w:t>
      </w:r>
    </w:p>
    <w:p>
      <w:pPr>
        <w:spacing w:before="0" w:after="160" w:line="280" w:lineRule="auto"/>
        <w:numPr>
          <w:ilvl w:val="0"/>
          <w:numId w:val="10"/>
        </w:numPr>
      </w:pPr>
      <w:r>
        <w:rPr>
          <w:rFonts w:ascii="Consolas" w:hAnsi="Consolas"/>
          <w:color w:val="1F4D78"/>
          <w:sz w:val="21"/>
          <w:shd w:fill="EEF2F6"/>
        </w:rPr>
        <w:t>VerificationResult</w:t>
      </w:r>
    </w:p>
    <w:p>
      <w:pPr>
        <w:spacing w:before="0" w:after="160" w:line="280" w:lineRule="auto"/>
        <w:numPr>
          <w:ilvl w:val="0"/>
          <w:numId w:val="10"/>
        </w:numPr>
      </w:pPr>
      <w:r>
        <w:rPr>
          <w:rFonts w:ascii="Consolas" w:hAnsi="Consolas"/>
          <w:color w:val="1F4D78"/>
          <w:sz w:val="21"/>
          <w:shd w:fill="EEF2F6"/>
        </w:rPr>
        <w:t>TimelineEvent</w:t>
      </w:r>
    </w:p>
    <w:p>
      <w:pPr>
        <w:spacing w:before="0" w:after="160" w:line="280" w:lineRule="auto"/>
        <w:numPr>
          <w:ilvl w:val="0"/>
          <w:numId w:val="10"/>
        </w:numPr>
      </w:pPr>
      <w:r>
        <w:rPr>
          <w:rFonts w:ascii="Consolas" w:hAnsi="Consolas"/>
          <w:color w:val="1F4D78"/>
          <w:sz w:val="21"/>
          <w:shd w:fill="EEF2F6"/>
        </w:rPr>
        <w:t>AnalysisSummary</w:t>
      </w:r>
    </w:p>
    <w:p>
      <w:pPr>
        <w:spacing w:before="0" w:after="160" w:line="280" w:lineRule="auto"/>
        <w:numPr>
          <w:ilvl w:val="0"/>
          <w:numId w:val="10"/>
        </w:numPr>
      </w:pPr>
      <w:r>
        <w:rPr>
          <w:rFonts w:ascii="Consolas" w:hAnsi="Consolas"/>
          <w:color w:val="1F4D78"/>
          <w:sz w:val="21"/>
          <w:shd w:fill="EEF2F6"/>
        </w:rPr>
        <w:t>EvidenceReport</w:t>
      </w:r>
    </w:p>
    <w:p>
      <w:pPr>
        <w:pStyle w:val="Heading2"/>
      </w:pPr>
      <w:r>
        <w:rPr>
          <w:rFonts w:ascii="Calibri" w:hAnsi="Calibri"/>
          <w:color w:val="2E74B5"/>
          <w:sz w:val="26"/>
        </w:rPr>
        <w:t>12.3 Error model</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9360"/>
      </w:tblGrid>
      <w:tr>
        <w:tc>
          <w:tcPr>
            <w:tcW w:type="dxa" w:w="9360"/>
            <w:vAlign w:val="center"/>
            <w:tcMar>
              <w:top w:w="80" w:type="dxa"/>
              <w:start w:w="120" w:type="dxa"/>
              <w:bottom w:w="80" w:type="dxa"/>
              <w:end w:w="120" w:type="dxa"/>
            </w:tcMar>
            <w:shd w:fill="F7F8FA"/>
          </w:tcPr>
          <w:p>
            <w:pPr>
              <w:spacing w:before="0" w:after="0" w:line="240" w:lineRule="auto"/>
            </w:pPr>
            <w:r/>
            <w:r>
              <w:rPr>
                <w:rFonts w:ascii="Consolas" w:hAnsi="Consolas"/>
                <w:color w:val="26374A"/>
                <w:sz w:val="17"/>
              </w:rPr>
              <w:t>{</w:t>
            </w:r>
          </w:p>
          <w:p>
            <w:pPr>
              <w:spacing w:before="0" w:after="0" w:line="240" w:lineRule="auto"/>
            </w:pPr>
            <w:r>
              <w:rPr>
                <w:rFonts w:ascii="Consolas" w:hAnsi="Consolas"/>
                <w:color w:val="26374A"/>
                <w:sz w:val="17"/>
              </w:rPr>
              <w:t xml:space="preserve">  "error": {</w:t>
            </w:r>
          </w:p>
          <w:p>
            <w:pPr>
              <w:spacing w:before="0" w:after="0" w:line="240" w:lineRule="auto"/>
            </w:pPr>
            <w:r>
              <w:rPr>
                <w:rFonts w:ascii="Consolas" w:hAnsi="Consolas"/>
                <w:color w:val="26374A"/>
                <w:sz w:val="17"/>
              </w:rPr>
              <w:t xml:space="preserve">    "code": "UNSUPPORTED_SQL",</w:t>
            </w:r>
          </w:p>
          <w:p>
            <w:pPr>
              <w:spacing w:before="0" w:after="0" w:line="240" w:lineRule="auto"/>
            </w:pPr>
            <w:r>
              <w:rPr>
                <w:rFonts w:ascii="Consolas" w:hAnsi="Consolas"/>
                <w:color w:val="26374A"/>
                <w:sz w:val="17"/>
              </w:rPr>
              <w:t xml:space="preserve">    "message": "The candidate contains a server-level operation that cannot run in verified mode.",</w:t>
            </w:r>
          </w:p>
          <w:p>
            <w:pPr>
              <w:spacing w:before="0" w:after="0" w:line="240" w:lineRule="auto"/>
            </w:pPr>
            <w:r>
              <w:rPr>
                <w:rFonts w:ascii="Consolas" w:hAnsi="Consolas"/>
                <w:color w:val="26374A"/>
                <w:sz w:val="17"/>
              </w:rPr>
              <w:t xml:space="preserve">    "analysis_id": "opaque-uuid",</w:t>
            </w:r>
          </w:p>
          <w:p>
            <w:pPr>
              <w:spacing w:before="0" w:after="0" w:line="240" w:lineRule="auto"/>
            </w:pPr>
            <w:r>
              <w:rPr>
                <w:rFonts w:ascii="Consolas" w:hAnsi="Consolas"/>
                <w:color w:val="26374A"/>
                <w:sz w:val="17"/>
              </w:rPr>
              <w:t xml:space="preserve">    "details": {</w:t>
            </w:r>
          </w:p>
          <w:p>
            <w:pPr>
              <w:spacing w:before="0" w:after="0" w:line="240" w:lineRule="auto"/>
            </w:pPr>
            <w:r>
              <w:rPr>
                <w:rFonts w:ascii="Consolas" w:hAnsi="Consolas"/>
                <w:color w:val="26374A"/>
                <w:sz w:val="17"/>
              </w:rPr>
              <w:t xml:space="preserve">      "statement_index": 3,</w:t>
            </w:r>
          </w:p>
          <w:p>
            <w:pPr>
              <w:spacing w:before="0" w:after="0" w:line="240" w:lineRule="auto"/>
            </w:pPr>
            <w:r>
              <w:rPr>
                <w:rFonts w:ascii="Consolas" w:hAnsi="Consolas"/>
                <w:color w:val="26374A"/>
                <w:sz w:val="17"/>
              </w:rPr>
              <w:t xml:space="preserve">      "category": "server_administration"</w:t>
            </w:r>
          </w:p>
          <w:p>
            <w:pPr>
              <w:spacing w:before="0" w:after="0" w:line="240" w:lineRule="auto"/>
            </w:pPr>
            <w:r>
              <w:rPr>
                <w:rFonts w:ascii="Consolas" w:hAnsi="Consolas"/>
                <w:color w:val="26374A"/>
                <w:sz w:val="17"/>
              </w:rPr>
              <w:t xml:space="preserve">    }</w:t>
            </w:r>
          </w:p>
          <w:p>
            <w:pPr>
              <w:spacing w:before="0" w:after="0" w:line="240" w:lineRule="auto"/>
            </w:pPr>
            <w:r>
              <w:rPr>
                <w:rFonts w:ascii="Consolas" w:hAnsi="Consolas"/>
                <w:color w:val="26374A"/>
                <w:sz w:val="17"/>
              </w:rPr>
              <w:t xml:space="preserve">  }</w:t>
            </w:r>
          </w:p>
          <w:p>
            <w:pPr>
              <w:spacing w:before="0" w:after="0" w:line="240" w:lineRule="auto"/>
            </w:pPr>
            <w:r>
              <w:rPr>
                <w:rFonts w:ascii="Consolas" w:hAnsi="Consolas"/>
                <w:color w:val="26374A"/>
                <w:sz w:val="17"/>
              </w:rPr>
              <w:t>}</w:t>
            </w:r>
          </w:p>
        </w:tc>
      </w:tr>
    </w:tbl>
    <w:p>
      <w:pPr>
        <w:spacing w:after="20"/>
      </w:pPr>
    </w:p>
    <w:p>
      <w:r>
        <w:rPr>
          <w:rFonts w:ascii="Calibri" w:hAnsi="Calibri"/>
          <w:color w:val="182433"/>
          <w:sz w:val="22"/>
        </w:rPr>
        <w:t>Messages must be safe for users; stack traces, filesystem paths, credentials, and raw fixture values remain server-side and are sanitized before logging.</w:t>
      </w:r>
    </w:p>
    <w:p>
      <w:pPr>
        <w:pStyle w:val="Heading1"/>
      </w:pPr>
      <w:r>
        <w:rPr>
          <w:rFonts w:ascii="Calibri" w:hAnsi="Calibri"/>
          <w:color w:val="2E74B5"/>
          <w:sz w:val="32"/>
        </w:rPr>
        <w:t>13. Persistence model</w:t>
      </w:r>
    </w:p>
    <w:p>
      <w:r>
        <w:rPr>
          <w:rFonts w:ascii="Calibri" w:hAnsi="Calibri"/>
          <w:color w:val="182433"/>
          <w:sz w:val="22"/>
        </w:rPr>
        <w:t xml:space="preserve">Cloud SQL stores sanitized metadata in the existing </w:t>
      </w:r>
      <w:r>
        <w:rPr>
          <w:rFonts w:ascii="Consolas" w:hAnsi="Consolas"/>
          <w:color w:val="1F4D78"/>
          <w:sz w:val="21"/>
          <w:shd w:fill="EEF2F6"/>
        </w:rPr>
        <w:t>app</w:t>
      </w:r>
      <w:r>
        <w:rPr>
          <w:rFonts w:ascii="Calibri" w:hAnsi="Calibri"/>
          <w:color w:val="182433"/>
          <w:sz w:val="22"/>
        </w:rPr>
        <w:t xml:space="preserve"> schema through SQLAlchemy 2 and Alembic.</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9"/>
        <w:gridCol w:w="5120"/>
        <w:gridCol w:w="2331"/>
      </w:tblGrid>
      <w:tr>
        <w:trPr>
          <w:tblHeader w:val="true"/>
        </w:trPr>
        <w:tc>
          <w:tcPr>
            <w:tcW w:type="dxa" w:w="1909"/>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Entity</w:t>
            </w:r>
          </w:p>
        </w:tc>
        <w:tc>
          <w:tcPr>
            <w:tcW w:type="dxa" w:w="5120"/>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Key fields</w:t>
            </w:r>
          </w:p>
        </w:tc>
        <w:tc>
          <w:tcPr>
            <w:tcW w:type="dxa" w:w="2331"/>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Retention</w:t>
            </w:r>
          </w:p>
        </w:tc>
      </w:tr>
      <w:tr>
        <w:tc>
          <w:tcPr>
            <w:tcW w:type="dxa" w:w="1909"/>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Analysis</w:t>
            </w:r>
          </w:p>
        </w:tc>
        <w:tc>
          <w:tcPr>
            <w:tcW w:type="dxa" w:w="5120"/>
            <w:vAlign w:val="center"/>
            <w:tcMar>
              <w:top w:w="80" w:type="dxa"/>
              <w:start w:w="120" w:type="dxa"/>
              <w:bottom w:w="80" w:type="dxa"/>
              <w:end w:w="120" w:type="dxa"/>
            </w:tcMar>
          </w:tcPr>
          <w:p>
            <w:pPr>
              <w:spacing w:before="0" w:after="40" w:line="252" w:lineRule="auto"/>
            </w:pPr>
            <w:r>
              <w:rPr>
                <w:rFonts w:ascii="Calibri" w:hAnsi="Calibri"/>
                <w:color w:val="182433"/>
                <w:sz w:val="18"/>
              </w:rPr>
              <w:t>ID, status, evidence level, verdict, input hash, provider, candidate name, expiry timestamps</w:t>
            </w:r>
          </w:p>
        </w:tc>
        <w:tc>
          <w:tcPr>
            <w:tcW w:type="dxa" w:w="2331"/>
            <w:vAlign w:val="center"/>
            <w:tcMar>
              <w:top w:w="80" w:type="dxa"/>
              <w:start w:w="120" w:type="dxa"/>
              <w:bottom w:w="80" w:type="dxa"/>
              <w:end w:w="120" w:type="dxa"/>
            </w:tcMar>
          </w:tcPr>
          <w:p>
            <w:pPr>
              <w:spacing w:before="0" w:after="40" w:line="252" w:lineRule="auto"/>
            </w:pPr>
            <w:r>
              <w:rPr>
                <w:rFonts w:ascii="Calibri" w:hAnsi="Calibri"/>
                <w:color w:val="182433"/>
                <w:sz w:val="18"/>
              </w:rPr>
              <w:t>24 hours for anonymous MVP</w:t>
            </w:r>
          </w:p>
        </w:tc>
      </w:tr>
      <w:tr>
        <w:tc>
          <w:tcPr>
            <w:tcW w:type="dxa" w:w="1909"/>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RiskFinding</w:t>
            </w:r>
          </w:p>
        </w:tc>
        <w:tc>
          <w:tcPr>
            <w:tcW w:type="dxa" w:w="5120"/>
            <w:vAlign w:val="center"/>
            <w:tcMar>
              <w:top w:w="80" w:type="dxa"/>
              <w:start w:w="120" w:type="dxa"/>
              <w:bottom w:w="80" w:type="dxa"/>
              <w:end w:w="120" w:type="dxa"/>
            </w:tcMar>
          </w:tcPr>
          <w:p>
            <w:pPr>
              <w:spacing w:before="0" w:after="40" w:line="252" w:lineRule="auto"/>
            </w:pPr>
            <w:r>
              <w:rPr>
                <w:rFonts w:ascii="Calibri" w:hAnsi="Calibri"/>
                <w:color w:val="182433"/>
                <w:sz w:val="18"/>
              </w:rPr>
              <w:t>Analysis ID, severity, category, statement index, sanitized reason</w:t>
            </w:r>
          </w:p>
        </w:tc>
        <w:tc>
          <w:tcPr>
            <w:tcW w:type="dxa" w:w="2331"/>
            <w:vAlign w:val="center"/>
            <w:tcMar>
              <w:top w:w="80" w:type="dxa"/>
              <w:start w:w="120" w:type="dxa"/>
              <w:bottom w:w="80" w:type="dxa"/>
              <w:end w:w="120" w:type="dxa"/>
            </w:tcMar>
          </w:tcPr>
          <w:p>
            <w:pPr>
              <w:spacing w:before="0" w:after="40" w:line="252" w:lineRule="auto"/>
            </w:pPr>
            <w:r>
              <w:rPr>
                <w:rFonts w:ascii="Calibri" w:hAnsi="Calibri"/>
                <w:color w:val="182433"/>
                <w:sz w:val="18"/>
              </w:rPr>
              <w:t>With analysis</w:t>
            </w:r>
          </w:p>
        </w:tc>
      </w:tr>
      <w:tr>
        <w:tc>
          <w:tcPr>
            <w:tcW w:type="dxa" w:w="1909"/>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SimulationRun</w:t>
            </w:r>
          </w:p>
        </w:tc>
        <w:tc>
          <w:tcPr>
            <w:tcW w:type="dxa" w:w="5120"/>
            <w:vAlign w:val="center"/>
            <w:tcMar>
              <w:top w:w="80" w:type="dxa"/>
              <w:start w:w="120" w:type="dxa"/>
              <w:bottom w:w="80" w:type="dxa"/>
              <w:end w:w="120" w:type="dxa"/>
            </w:tcMar>
          </w:tcPr>
          <w:p>
            <w:pPr>
              <w:spacing w:before="0" w:after="40" w:line="252" w:lineRule="auto"/>
            </w:pPr>
            <w:r>
              <w:rPr>
                <w:rFonts w:ascii="Calibri" w:hAnsi="Calibri"/>
                <w:color w:val="182433"/>
                <w:sz w:val="18"/>
              </w:rPr>
              <w:t>Analysis ID, run type, boundary, status, durations, recovery class</w:t>
            </w:r>
          </w:p>
        </w:tc>
        <w:tc>
          <w:tcPr>
            <w:tcW w:type="dxa" w:w="2331"/>
            <w:vAlign w:val="center"/>
            <w:tcMar>
              <w:top w:w="80" w:type="dxa"/>
              <w:start w:w="120" w:type="dxa"/>
              <w:bottom w:w="80" w:type="dxa"/>
              <w:end w:w="120" w:type="dxa"/>
            </w:tcMar>
          </w:tcPr>
          <w:p>
            <w:pPr>
              <w:spacing w:before="0" w:after="40" w:line="252" w:lineRule="auto"/>
            </w:pPr>
            <w:r>
              <w:rPr>
                <w:rFonts w:ascii="Calibri" w:hAnsi="Calibri"/>
                <w:color w:val="182433"/>
                <w:sz w:val="18"/>
              </w:rPr>
              <w:t>With analysis</w:t>
            </w:r>
          </w:p>
        </w:tc>
      </w:tr>
      <w:tr>
        <w:tc>
          <w:tcPr>
            <w:tcW w:type="dxa" w:w="1909"/>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LegacyQueryResult</w:t>
            </w:r>
          </w:p>
        </w:tc>
        <w:tc>
          <w:tcPr>
            <w:tcW w:type="dxa" w:w="5120"/>
            <w:vAlign w:val="center"/>
            <w:tcMar>
              <w:top w:w="80" w:type="dxa"/>
              <w:start w:w="120" w:type="dxa"/>
              <w:bottom w:w="80" w:type="dxa"/>
              <w:end w:w="120" w:type="dxa"/>
            </w:tcMar>
          </w:tcPr>
          <w:p>
            <w:pPr>
              <w:spacing w:before="0" w:after="40" w:line="252" w:lineRule="auto"/>
            </w:pPr>
            <w:r>
              <w:rPr>
                <w:rFonts w:ascii="Calibri" w:hAnsi="Calibri"/>
                <w:color w:val="182433"/>
                <w:sz w:val="18"/>
              </w:rPr>
              <w:t>Analysis ID, query name/hash, outcome, sanitized error, affected-row count</w:t>
            </w:r>
          </w:p>
        </w:tc>
        <w:tc>
          <w:tcPr>
            <w:tcW w:type="dxa" w:w="2331"/>
            <w:vAlign w:val="center"/>
            <w:tcMar>
              <w:top w:w="80" w:type="dxa"/>
              <w:start w:w="120" w:type="dxa"/>
              <w:bottom w:w="80" w:type="dxa"/>
              <w:end w:w="120" w:type="dxa"/>
            </w:tcMar>
          </w:tcPr>
          <w:p>
            <w:pPr>
              <w:spacing w:before="0" w:after="40" w:line="252" w:lineRule="auto"/>
            </w:pPr>
            <w:r>
              <w:rPr>
                <w:rFonts w:ascii="Calibri" w:hAnsi="Calibri"/>
                <w:color w:val="182433"/>
                <w:sz w:val="18"/>
              </w:rPr>
              <w:t>With analysis</w:t>
            </w:r>
          </w:p>
        </w:tc>
      </w:tr>
      <w:tr>
        <w:tc>
          <w:tcPr>
            <w:tcW w:type="dxa" w:w="1909"/>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TimelineEvent</w:t>
            </w:r>
          </w:p>
        </w:tc>
        <w:tc>
          <w:tcPr>
            <w:tcW w:type="dxa" w:w="5120"/>
            <w:vAlign w:val="center"/>
            <w:tcMar>
              <w:top w:w="80" w:type="dxa"/>
              <w:start w:w="120" w:type="dxa"/>
              <w:bottom w:w="80" w:type="dxa"/>
              <w:end w:w="120" w:type="dxa"/>
            </w:tcMar>
          </w:tcPr>
          <w:p>
            <w:pPr>
              <w:spacing w:before="0" w:after="40" w:line="252" w:lineRule="auto"/>
            </w:pPr>
            <w:r>
              <w:rPr>
                <w:rFonts w:ascii="Calibri" w:hAnsi="Calibri"/>
                <w:color w:val="182433"/>
                <w:sz w:val="18"/>
              </w:rPr>
              <w:t>Analysis ID, sequence, event type, status, sanitized message</w:t>
            </w:r>
          </w:p>
        </w:tc>
        <w:tc>
          <w:tcPr>
            <w:tcW w:type="dxa" w:w="2331"/>
            <w:vAlign w:val="center"/>
            <w:tcMar>
              <w:top w:w="80" w:type="dxa"/>
              <w:start w:w="120" w:type="dxa"/>
              <w:bottom w:w="80" w:type="dxa"/>
              <w:end w:w="120" w:type="dxa"/>
            </w:tcMar>
          </w:tcPr>
          <w:p>
            <w:pPr>
              <w:spacing w:before="0" w:after="40" w:line="252" w:lineRule="auto"/>
            </w:pPr>
            <w:r>
              <w:rPr>
                <w:rFonts w:ascii="Calibri" w:hAnsi="Calibri"/>
                <w:color w:val="182433"/>
                <w:sz w:val="18"/>
              </w:rPr>
              <w:t>With analysis</w:t>
            </w:r>
          </w:p>
        </w:tc>
      </w:tr>
      <w:tr>
        <w:tc>
          <w:tcPr>
            <w:tcW w:type="dxa" w:w="1909"/>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RecoveryPlan</w:t>
            </w:r>
          </w:p>
        </w:tc>
        <w:tc>
          <w:tcPr>
            <w:tcW w:type="dxa" w:w="5120"/>
            <w:vAlign w:val="center"/>
            <w:tcMar>
              <w:top w:w="80" w:type="dxa"/>
              <w:start w:w="120" w:type="dxa"/>
              <w:bottom w:w="80" w:type="dxa"/>
              <w:end w:w="120" w:type="dxa"/>
            </w:tcMar>
          </w:tcPr>
          <w:p>
            <w:pPr>
              <w:spacing w:before="0" w:after="40" w:line="252" w:lineRule="auto"/>
            </w:pPr>
            <w:r>
              <w:rPr>
                <w:rFonts w:ascii="Calibri" w:hAnsi="Calibri"/>
                <w:color w:val="182433"/>
                <w:sz w:val="18"/>
              </w:rPr>
              <w:t>Analysis ID, model/version, strategy, structured generated plan, verification state</w:t>
            </w:r>
          </w:p>
        </w:tc>
        <w:tc>
          <w:tcPr>
            <w:tcW w:type="dxa" w:w="2331"/>
            <w:vAlign w:val="center"/>
            <w:tcMar>
              <w:top w:w="80" w:type="dxa"/>
              <w:start w:w="120" w:type="dxa"/>
              <w:bottom w:w="80" w:type="dxa"/>
              <w:end w:w="120" w:type="dxa"/>
            </w:tcMar>
          </w:tcPr>
          <w:p>
            <w:pPr>
              <w:spacing w:before="0" w:after="40" w:line="252" w:lineRule="auto"/>
            </w:pPr>
            <w:r>
              <w:rPr>
                <w:rFonts w:ascii="Calibri" w:hAnsi="Calibri"/>
                <w:color w:val="182433"/>
                <w:sz w:val="18"/>
              </w:rPr>
              <w:t>With analysis</w:t>
            </w:r>
          </w:p>
        </w:tc>
      </w:tr>
      <w:tr>
        <w:tc>
          <w:tcPr>
            <w:tcW w:type="dxa" w:w="1909"/>
            <w:vAlign w:val="center"/>
            <w:tcMar>
              <w:top w:w="80" w:type="dxa"/>
              <w:start w:w="120" w:type="dxa"/>
              <w:bottom w:w="80" w:type="dxa"/>
              <w:end w:w="120" w:type="dxa"/>
            </w:tcMar>
          </w:tcPr>
          <w:p>
            <w:pPr>
              <w:spacing w:before="0" w:after="40" w:line="252" w:lineRule="auto"/>
            </w:pPr>
            <w:r>
              <w:rPr>
                <w:rFonts w:ascii="Consolas" w:hAnsi="Consolas"/>
                <w:color w:val="1F4D78"/>
                <w:sz w:val="17"/>
                <w:shd w:fill="EEF2F6"/>
              </w:rPr>
              <w:t>VerificationResult</w:t>
            </w:r>
          </w:p>
        </w:tc>
        <w:tc>
          <w:tcPr>
            <w:tcW w:type="dxa" w:w="5120"/>
            <w:vAlign w:val="center"/>
            <w:tcMar>
              <w:top w:w="80" w:type="dxa"/>
              <w:start w:w="120" w:type="dxa"/>
              <w:bottom w:w="80" w:type="dxa"/>
              <w:end w:w="120" w:type="dxa"/>
            </w:tcMar>
          </w:tcPr>
          <w:p>
            <w:pPr>
              <w:spacing w:before="0" w:after="40" w:line="252" w:lineRule="auto"/>
            </w:pPr>
            <w:r>
              <w:rPr>
                <w:rFonts w:ascii="Calibri" w:hAnsi="Calibri"/>
                <w:color w:val="182433"/>
                <w:sz w:val="18"/>
              </w:rPr>
              <w:t>Plan ID, evidence dimensions, verdict, completion timestamp</w:t>
            </w:r>
          </w:p>
        </w:tc>
        <w:tc>
          <w:tcPr>
            <w:tcW w:type="dxa" w:w="2331"/>
            <w:vAlign w:val="center"/>
            <w:tcMar>
              <w:top w:w="80" w:type="dxa"/>
              <w:start w:w="120" w:type="dxa"/>
              <w:bottom w:w="80" w:type="dxa"/>
              <w:end w:w="120" w:type="dxa"/>
            </w:tcMar>
          </w:tcPr>
          <w:p>
            <w:pPr>
              <w:spacing w:before="0" w:after="40" w:line="252" w:lineRule="auto"/>
            </w:pPr>
            <w:r>
              <w:rPr>
                <w:rFonts w:ascii="Calibri" w:hAnsi="Calibri"/>
                <w:color w:val="182433"/>
                <w:sz w:val="18"/>
              </w:rPr>
              <w:t>With analysis</w:t>
            </w:r>
          </w:p>
        </w:tc>
      </w:tr>
    </w:tbl>
    <w:p>
      <w:pPr>
        <w:spacing w:after="40"/>
      </w:pPr>
    </w:p>
    <w:p>
      <w:r>
        <w:rPr>
          <w:rFonts w:ascii="Calibri" w:hAnsi="Calibri"/>
          <w:color w:val="182433"/>
          <w:sz w:val="22"/>
        </w:rPr>
        <w:t>Raw archives, extracted migration files, fixture SQL, fixture rows, legacy-query SQL, PostgreSQL data directories, and model prompts are temporary artifacts. They are deleted when the analysis reaches a terminal state, after plan verification, or when the lifecycle timeout expires.</w:t>
      </w:r>
    </w:p>
    <w:p>
      <w:r>
        <w:rPr>
          <w:rFonts w:ascii="Calibri" w:hAnsi="Calibri"/>
          <w:color w:val="182433"/>
          <w:sz w:val="22"/>
        </w:rPr>
        <w:t xml:space="preserve">The Phase 1 schema adds </w:t>
      </w:r>
      <w:r>
        <w:rPr>
          <w:rFonts w:ascii="Consolas" w:hAnsi="Consolas"/>
          <w:color w:val="1F4D78"/>
          <w:sz w:val="21"/>
          <w:shd w:fill="EEF2F6"/>
        </w:rPr>
        <w:t>User</w:t>
      </w:r>
      <w:r>
        <w:rPr>
          <w:rFonts w:ascii="Calibri" w:hAnsi="Calibri"/>
          <w:color w:val="182433"/>
          <w:sz w:val="22"/>
        </w:rPr>
        <w:t>, Clerk identity, ownership, configurable retention, and persistent history. No incomplete user table should be deployed in the MVP merely because an unfinished model already exists.</w:t>
      </w:r>
    </w:p>
    <w:p>
      <w:pPr>
        <w:pStyle w:val="Heading1"/>
      </w:pPr>
      <w:r>
        <w:rPr>
          <w:rFonts w:ascii="Calibri" w:hAnsi="Calibri"/>
          <w:color w:val="2E74B5"/>
          <w:sz w:val="32"/>
        </w:rPr>
        <w:t>14. Security, privacy, and abuse resistance</w:t>
      </w:r>
    </w:p>
    <w:p>
      <w:pPr>
        <w:pStyle w:val="Heading2"/>
      </w:pPr>
      <w:r>
        <w:rPr>
          <w:rFonts w:ascii="Calibri" w:hAnsi="Calibri"/>
          <w:color w:val="2E74B5"/>
          <w:sz w:val="26"/>
        </w:rPr>
        <w:t>14.1 Trust boundaries</w:t>
      </w:r>
    </w:p>
    <w:p>
      <w:r>
        <w:rPr>
          <w:rFonts w:ascii="Calibri" w:hAnsi="Calibri"/>
          <w:color w:val="182433"/>
          <w:sz w:val="22"/>
        </w:rPr>
        <w:t>Uploads, SQL, archives, fixture values, query contracts, and model output are untrusted. The FastAPI process is a control plane; the PostgreSQL process is a disposable execution sandbox; Gemini is an untrusted planner; Cloud SQL is the sanitized evidence store.</w:t>
      </w:r>
    </w:p>
    <w:p>
      <w:pPr>
        <w:pStyle w:val="Heading2"/>
      </w:pPr>
      <w:r>
        <w:rPr>
          <w:rFonts w:ascii="Calibri" w:hAnsi="Calibri"/>
          <w:color w:val="2E74B5"/>
          <w:sz w:val="26"/>
        </w:rPr>
        <w:t>14.2 Required controls</w:t>
      </w:r>
    </w:p>
    <w:p>
      <w:pPr>
        <w:spacing w:before="0" w:after="160" w:line="280" w:lineRule="auto"/>
        <w:numPr>
          <w:ilvl w:val="0"/>
          <w:numId w:val="10"/>
        </w:numPr>
      </w:pPr>
      <w:r>
        <w:rPr>
          <w:rFonts w:ascii="Calibri" w:hAnsi="Calibri"/>
          <w:color w:val="182433"/>
          <w:sz w:val="22"/>
        </w:rPr>
        <w:t>Never accept a database URL or production credentials.</w:t>
      </w:r>
    </w:p>
    <w:p>
      <w:pPr>
        <w:spacing w:before="0" w:after="160" w:line="280" w:lineRule="auto"/>
        <w:numPr>
          <w:ilvl w:val="0"/>
          <w:numId w:val="10"/>
        </w:numPr>
      </w:pPr>
      <w:r>
        <w:rPr>
          <w:rFonts w:ascii="Calibri" w:hAnsi="Calibri"/>
          <w:color w:val="182433"/>
          <w:sz w:val="22"/>
        </w:rPr>
        <w:t>Normalize archive paths before extraction and reject traversal and symlinks.</w:t>
      </w:r>
    </w:p>
    <w:p>
      <w:pPr>
        <w:spacing w:before="0" w:after="160" w:line="280" w:lineRule="auto"/>
        <w:numPr>
          <w:ilvl w:val="0"/>
          <w:numId w:val="10"/>
        </w:numPr>
      </w:pPr>
      <w:r>
        <w:rPr>
          <w:rFonts w:ascii="Calibri" w:hAnsi="Calibri"/>
          <w:color w:val="182433"/>
          <w:sz w:val="22"/>
        </w:rPr>
        <w:t>Verify compressed/uncompressed limits before and during extraction.</w:t>
      </w:r>
    </w:p>
    <w:p>
      <w:pPr>
        <w:spacing w:before="0" w:after="160" w:line="280" w:lineRule="auto"/>
        <w:numPr>
          <w:ilvl w:val="0"/>
          <w:numId w:val="10"/>
        </w:numPr>
      </w:pPr>
      <w:r>
        <w:rPr>
          <w:rFonts w:ascii="Calibri" w:hAnsi="Calibri"/>
          <w:color w:val="182433"/>
          <w:sz w:val="22"/>
        </w:rPr>
        <w:t>Use a unique temporary directory with restrictive permissions.</w:t>
      </w:r>
    </w:p>
    <w:p>
      <w:pPr>
        <w:spacing w:before="0" w:after="160" w:line="280" w:lineRule="auto"/>
        <w:numPr>
          <w:ilvl w:val="0"/>
          <w:numId w:val="10"/>
        </w:numPr>
      </w:pPr>
      <w:r>
        <w:rPr>
          <w:rFonts w:ascii="Calibri" w:hAnsi="Calibri"/>
          <w:color w:val="182433"/>
          <w:sz w:val="22"/>
        </w:rPr>
        <w:t>Run PostgreSQL and migration SQL as non-root/non-superuser identities.</w:t>
      </w:r>
    </w:p>
    <w:p>
      <w:pPr>
        <w:spacing w:before="0" w:after="160" w:line="280" w:lineRule="auto"/>
        <w:numPr>
          <w:ilvl w:val="0"/>
          <w:numId w:val="10"/>
        </w:numPr>
      </w:pPr>
      <w:r>
        <w:rPr>
          <w:rFonts w:ascii="Calibri" w:hAnsi="Calibri"/>
          <w:color w:val="182433"/>
          <w:sz w:val="22"/>
        </w:rPr>
        <w:t>Use Unix sockets and disable external sandbox listeners.</w:t>
      </w:r>
    </w:p>
    <w:p>
      <w:pPr>
        <w:spacing w:before="0" w:after="160" w:line="280" w:lineRule="auto"/>
        <w:numPr>
          <w:ilvl w:val="0"/>
          <w:numId w:val="10"/>
        </w:numPr>
      </w:pPr>
      <w:r>
        <w:rPr>
          <w:rFonts w:ascii="Calibri" w:hAnsi="Calibri"/>
          <w:color w:val="182433"/>
          <w:sz w:val="22"/>
        </w:rPr>
        <w:t>Apply statement, lock, process, memory, disk, and lifecycle timeouts.</w:t>
      </w:r>
    </w:p>
    <w:p>
      <w:pPr>
        <w:spacing w:before="0" w:after="160" w:line="280" w:lineRule="auto"/>
        <w:numPr>
          <w:ilvl w:val="0"/>
          <w:numId w:val="10"/>
        </w:numPr>
      </w:pPr>
      <w:r>
        <w:rPr>
          <w:rFonts w:ascii="Calibri" w:hAnsi="Calibri"/>
          <w:color w:val="182433"/>
          <w:sz w:val="22"/>
        </w:rPr>
        <w:t>Block server-level, filesystem, network, privilege, and untrusted-language SQL.</w:t>
      </w:r>
    </w:p>
    <w:p>
      <w:pPr>
        <w:spacing w:before="0" w:after="160" w:line="280" w:lineRule="auto"/>
        <w:numPr>
          <w:ilvl w:val="0"/>
          <w:numId w:val="10"/>
        </w:numPr>
      </w:pPr>
      <w:r>
        <w:rPr>
          <w:rFonts w:ascii="Calibri" w:hAnsi="Calibri"/>
          <w:color w:val="182433"/>
          <w:sz w:val="22"/>
        </w:rPr>
        <w:t>Redact literals before Gemini prompts and persistent logging.</w:t>
      </w:r>
    </w:p>
    <w:p>
      <w:pPr>
        <w:spacing w:before="0" w:after="160" w:line="280" w:lineRule="auto"/>
        <w:numPr>
          <w:ilvl w:val="0"/>
          <w:numId w:val="10"/>
        </w:numPr>
      </w:pPr>
      <w:r>
        <w:rPr>
          <w:rFonts w:ascii="Calibri" w:hAnsi="Calibri"/>
          <w:color w:val="182433"/>
          <w:sz w:val="22"/>
        </w:rPr>
        <w:t>Store artifact hashes instead of artifacts.</w:t>
      </w:r>
    </w:p>
    <w:p>
      <w:pPr>
        <w:spacing w:before="0" w:after="160" w:line="280" w:lineRule="auto"/>
        <w:numPr>
          <w:ilvl w:val="0"/>
          <w:numId w:val="10"/>
        </w:numPr>
      </w:pPr>
      <w:r>
        <w:rPr>
          <w:rFonts w:ascii="Calibri" w:hAnsi="Calibri"/>
          <w:color w:val="182433"/>
          <w:sz w:val="22"/>
        </w:rPr>
        <w:t>Remove sandbox directories after every terminal path and on service startup.</w:t>
      </w:r>
    </w:p>
    <w:p>
      <w:pPr>
        <w:spacing w:before="0" w:after="160" w:line="280" w:lineRule="auto"/>
        <w:numPr>
          <w:ilvl w:val="0"/>
          <w:numId w:val="10"/>
        </w:numPr>
      </w:pPr>
      <w:r>
        <w:rPr>
          <w:rFonts w:ascii="Calibri" w:hAnsi="Calibri"/>
          <w:color w:val="182433"/>
          <w:sz w:val="22"/>
        </w:rPr>
        <w:t>Do not log environment variables, authorization headers, SQL literals, or fixture rows.</w:t>
      </w:r>
    </w:p>
    <w:p>
      <w:pPr>
        <w:spacing w:before="0" w:after="160" w:line="280" w:lineRule="auto"/>
        <w:numPr>
          <w:ilvl w:val="0"/>
          <w:numId w:val="10"/>
        </w:numPr>
      </w:pPr>
      <w:r>
        <w:rPr>
          <w:rFonts w:ascii="Calibri" w:hAnsi="Calibri"/>
          <w:color w:val="182433"/>
          <w:sz w:val="22"/>
        </w:rPr>
        <w:t>Require deterministic verification after every model-generated plan.</w:t>
      </w:r>
    </w:p>
    <w:p>
      <w:pPr>
        <w:pStyle w:val="Heading2"/>
      </w:pPr>
      <w:r>
        <w:rPr>
          <w:rFonts w:ascii="Calibri" w:hAnsi="Calibri"/>
          <w:color w:val="2E74B5"/>
          <w:sz w:val="26"/>
        </w:rPr>
        <w:t>14.3 Residual risk</w:t>
      </w:r>
    </w:p>
    <w:p>
      <w:r>
        <w:rPr>
          <w:rFonts w:ascii="Calibri" w:hAnsi="Calibri"/>
          <w:color w:val="182433"/>
          <w:sz w:val="22"/>
        </w:rPr>
        <w:t>PostgreSQL is a complex execution engine and SQL policy enforcement can contain gaps. The MVP is safe for controlled synthetic demonstrations, not hostile multi-tenant internet exposure. Production rollout requires stronger process/container isolation, egress denial, independent workers, quotas, fuzzing, and security review.</w:t>
      </w:r>
    </w:p>
    <w:p>
      <w:pPr>
        <w:pStyle w:val="Heading1"/>
      </w:pPr>
      <w:r>
        <w:rPr>
          <w:rFonts w:ascii="Calibri" w:hAnsi="Calibri"/>
          <w:color w:val="2E74B5"/>
          <w:sz w:val="32"/>
        </w:rPr>
        <w:t>15. Non-functional requirements</w:t>
      </w:r>
    </w:p>
    <w:p>
      <w:pPr>
        <w:pStyle w:val="Heading2"/>
      </w:pPr>
      <w:r>
        <w:rPr>
          <w:rFonts w:ascii="Calibri" w:hAnsi="Calibri"/>
          <w:color w:val="2E74B5"/>
          <w:sz w:val="26"/>
        </w:rPr>
        <w:t>15.1 Performance and limits</w:t>
      </w:r>
    </w:p>
    <w:p>
      <w:pPr>
        <w:spacing w:before="0" w:after="160" w:line="280" w:lineRule="auto"/>
        <w:numPr>
          <w:ilvl w:val="0"/>
          <w:numId w:val="10"/>
        </w:numPr>
      </w:pPr>
      <w:r>
        <w:rPr>
          <w:rFonts w:ascii="Calibri" w:hAnsi="Calibri"/>
          <w:color w:val="182433"/>
          <w:sz w:val="22"/>
        </w:rPr>
        <w:t>Archive validation: under 3 seconds at the maximum MVP input size.</w:t>
      </w:r>
    </w:p>
    <w:p>
      <w:pPr>
        <w:spacing w:before="0" w:after="160" w:line="280" w:lineRule="auto"/>
        <w:numPr>
          <w:ilvl w:val="0"/>
          <w:numId w:val="10"/>
        </w:numPr>
      </w:pPr>
      <w:r>
        <w:rPr>
          <w:rFonts w:ascii="Calibri" w:hAnsi="Calibri"/>
          <w:color w:val="182433"/>
          <w:sz w:val="22"/>
        </w:rPr>
        <w:t>Static analysis: under 5 seconds for 25 statements.</w:t>
      </w:r>
    </w:p>
    <w:p>
      <w:pPr>
        <w:spacing w:before="0" w:after="160" w:line="280" w:lineRule="auto"/>
        <w:numPr>
          <w:ilvl w:val="0"/>
          <w:numId w:val="10"/>
        </w:numPr>
      </w:pPr>
      <w:r>
        <w:rPr>
          <w:rFonts w:ascii="Calibri" w:hAnsi="Calibri"/>
          <w:color w:val="182433"/>
          <w:sz w:val="22"/>
        </w:rPr>
        <w:t>Each simulation stage: under 90 seconds.</w:t>
      </w:r>
    </w:p>
    <w:p>
      <w:pPr>
        <w:spacing w:before="0" w:after="160" w:line="280" w:lineRule="auto"/>
        <w:numPr>
          <w:ilvl w:val="0"/>
          <w:numId w:val="10"/>
        </w:numPr>
      </w:pPr>
      <w:r>
        <w:rPr>
          <w:rFonts w:ascii="Calibri" w:hAnsi="Calibri"/>
          <w:color w:val="182433"/>
          <w:sz w:val="22"/>
        </w:rPr>
        <w:t>Gemini plan generation: target under 30 seconds; fail closed on timeout.</w:t>
      </w:r>
    </w:p>
    <w:p>
      <w:pPr>
        <w:spacing w:before="0" w:after="160" w:line="280" w:lineRule="auto"/>
        <w:numPr>
          <w:ilvl w:val="0"/>
          <w:numId w:val="10"/>
        </w:numPr>
      </w:pPr>
      <w:r>
        <w:rPr>
          <w:rFonts w:ascii="Calibri" w:hAnsi="Calibri"/>
          <w:color w:val="182433"/>
          <w:sz w:val="22"/>
        </w:rPr>
        <w:t>One active simulation per instance; additional requests receive an explicit busy/queued response.</w:t>
      </w:r>
    </w:p>
    <w:p>
      <w:pPr>
        <w:spacing w:before="0" w:after="160" w:line="280" w:lineRule="auto"/>
        <w:numPr>
          <w:ilvl w:val="0"/>
          <w:numId w:val="10"/>
        </w:numPr>
      </w:pPr>
      <w:r>
        <w:rPr>
          <w:rFonts w:ascii="Calibri" w:hAnsi="Calibri"/>
          <w:color w:val="182433"/>
          <w:sz w:val="22"/>
        </w:rPr>
        <w:t>Report endpoints: target P95 under 500 ms after persistence.</w:t>
      </w:r>
    </w:p>
    <w:p>
      <w:pPr>
        <w:pStyle w:val="Heading2"/>
      </w:pPr>
      <w:r>
        <w:rPr>
          <w:rFonts w:ascii="Calibri" w:hAnsi="Calibri"/>
          <w:color w:val="2E74B5"/>
          <w:sz w:val="26"/>
        </w:rPr>
        <w:t>15.2 Reliability</w:t>
      </w:r>
    </w:p>
    <w:p>
      <w:pPr>
        <w:spacing w:before="0" w:after="160" w:line="280" w:lineRule="auto"/>
        <w:numPr>
          <w:ilvl w:val="0"/>
          <w:numId w:val="10"/>
        </w:numPr>
      </w:pPr>
      <w:r>
        <w:rPr>
          <w:rFonts w:ascii="Calibri" w:hAnsi="Calibri"/>
          <w:color w:val="182433"/>
          <w:sz w:val="22"/>
        </w:rPr>
        <w:t>Every simulation starts from a new or restored clean baseline.</w:t>
      </w:r>
    </w:p>
    <w:p>
      <w:pPr>
        <w:spacing w:before="0" w:after="160" w:line="280" w:lineRule="auto"/>
        <w:numPr>
          <w:ilvl w:val="0"/>
          <w:numId w:val="10"/>
        </w:numPr>
      </w:pPr>
      <w:r>
        <w:rPr>
          <w:rFonts w:ascii="Calibri" w:hAnsi="Calibri"/>
          <w:color w:val="182433"/>
          <w:sz w:val="22"/>
        </w:rPr>
        <w:t>A failed stage cannot reuse a contaminated sandbox for positive verification.</w:t>
      </w:r>
    </w:p>
    <w:p>
      <w:pPr>
        <w:spacing w:before="0" w:after="160" w:line="280" w:lineRule="auto"/>
        <w:numPr>
          <w:ilvl w:val="0"/>
          <w:numId w:val="10"/>
        </w:numPr>
      </w:pPr>
      <w:r>
        <w:rPr>
          <w:rFonts w:ascii="Calibri" w:hAnsi="Calibri"/>
          <w:color w:val="182433"/>
          <w:sz w:val="22"/>
        </w:rPr>
        <w:t>Timeline events are ordered and append-only within an analysis.</w:t>
      </w:r>
    </w:p>
    <w:p>
      <w:pPr>
        <w:spacing w:before="0" w:after="160" w:line="280" w:lineRule="auto"/>
        <w:numPr>
          <w:ilvl w:val="0"/>
          <w:numId w:val="10"/>
        </w:numPr>
      </w:pPr>
      <w:r>
        <w:rPr>
          <w:rFonts w:ascii="Calibri" w:hAnsi="Calibri"/>
          <w:color w:val="182433"/>
          <w:sz w:val="22"/>
        </w:rPr>
        <w:t>Terminal cleanup is idempotent.</w:t>
      </w:r>
    </w:p>
    <w:p>
      <w:pPr>
        <w:spacing w:before="0" w:after="160" w:line="280" w:lineRule="auto"/>
        <w:numPr>
          <w:ilvl w:val="0"/>
          <w:numId w:val="10"/>
        </w:numPr>
      </w:pPr>
      <w:r>
        <w:rPr>
          <w:rFonts w:ascii="Calibri" w:hAnsi="Calibri"/>
          <w:color w:val="182433"/>
          <w:sz w:val="22"/>
        </w:rPr>
        <w:t xml:space="preserve">Expired reports return </w:t>
      </w:r>
      <w:r>
        <w:rPr>
          <w:rFonts w:ascii="Consolas" w:hAnsi="Consolas"/>
          <w:color w:val="1F4D78"/>
          <w:sz w:val="21"/>
          <w:shd w:fill="EEF2F6"/>
        </w:rPr>
        <w:t>410 Gone</w:t>
      </w:r>
      <w:r>
        <w:rPr>
          <w:rFonts w:ascii="Calibri" w:hAnsi="Calibri"/>
          <w:color w:val="182433"/>
          <w:sz w:val="22"/>
        </w:rPr>
        <w:t xml:space="preserve">; unknown IDs return </w:t>
      </w:r>
      <w:r>
        <w:rPr>
          <w:rFonts w:ascii="Consolas" w:hAnsi="Consolas"/>
          <w:color w:val="1F4D78"/>
          <w:sz w:val="21"/>
          <w:shd w:fill="EEF2F6"/>
        </w:rPr>
        <w:t>404 Not Found</w:t>
      </w:r>
      <w:r>
        <w:rPr>
          <w:rFonts w:ascii="Calibri" w:hAnsi="Calibri"/>
          <w:color w:val="182433"/>
          <w:sz w:val="22"/>
        </w:rPr>
        <w:t>.</w:t>
      </w:r>
    </w:p>
    <w:p>
      <w:pPr>
        <w:pStyle w:val="Heading2"/>
      </w:pPr>
      <w:r>
        <w:rPr>
          <w:rFonts w:ascii="Calibri" w:hAnsi="Calibri"/>
          <w:color w:val="2E74B5"/>
          <w:sz w:val="26"/>
        </w:rPr>
        <w:t>15.3 Observability</w:t>
      </w:r>
    </w:p>
    <w:p>
      <w:r>
        <w:rPr>
          <w:rFonts w:ascii="Calibri" w:hAnsi="Calibri"/>
          <w:color w:val="182433"/>
          <w:sz w:val="22"/>
        </w:rPr>
        <w:t>Emit structured logs and metrics for stage duration, failure category, cleanup success, sandbox startup, model latency, model schema failure, and final evidence level. Logs use analysis IDs but no raw SQL literals or fixture values.</w:t>
      </w:r>
    </w:p>
    <w:p>
      <w:pPr>
        <w:pStyle w:val="Heading2"/>
      </w:pPr>
      <w:r>
        <w:rPr>
          <w:rFonts w:ascii="Calibri" w:hAnsi="Calibri"/>
          <w:color w:val="2E74B5"/>
          <w:sz w:val="26"/>
        </w:rPr>
        <w:t>15.4 Accessibility and usability</w:t>
      </w:r>
    </w:p>
    <w:p>
      <w:pPr>
        <w:spacing w:before="0" w:after="160" w:line="280" w:lineRule="auto"/>
        <w:numPr>
          <w:ilvl w:val="0"/>
          <w:numId w:val="10"/>
        </w:numPr>
      </w:pPr>
      <w:r>
        <w:rPr>
          <w:rFonts w:ascii="Calibri" w:hAnsi="Calibri"/>
          <w:color w:val="182433"/>
          <w:sz w:val="22"/>
        </w:rPr>
        <w:t>All risk states use text and icons in addition to color.</w:t>
      </w:r>
    </w:p>
    <w:p>
      <w:pPr>
        <w:spacing w:before="0" w:after="160" w:line="280" w:lineRule="auto"/>
        <w:numPr>
          <w:ilvl w:val="0"/>
          <w:numId w:val="10"/>
        </w:numPr>
      </w:pPr>
      <w:r>
        <w:rPr>
          <w:rFonts w:ascii="Calibri" w:hAnsi="Calibri"/>
          <w:color w:val="182433"/>
          <w:sz w:val="22"/>
        </w:rPr>
        <w:t>The stepper is keyboard navigable and screen-reader labeled.</w:t>
      </w:r>
    </w:p>
    <w:p>
      <w:pPr>
        <w:spacing w:before="0" w:after="160" w:line="280" w:lineRule="auto"/>
        <w:numPr>
          <w:ilvl w:val="0"/>
          <w:numId w:val="10"/>
        </w:numPr>
      </w:pPr>
      <w:r>
        <w:rPr>
          <w:rFonts w:ascii="Calibri" w:hAnsi="Calibri"/>
          <w:color w:val="182433"/>
          <w:sz w:val="22"/>
        </w:rPr>
        <w:t>Code blocks support horizontal scrolling and copy actions.</w:t>
      </w:r>
    </w:p>
    <w:p>
      <w:pPr>
        <w:spacing w:before="0" w:after="160" w:line="280" w:lineRule="auto"/>
        <w:numPr>
          <w:ilvl w:val="0"/>
          <w:numId w:val="10"/>
        </w:numPr>
      </w:pPr>
      <w:r>
        <w:rPr>
          <w:rFonts w:ascii="Calibri" w:hAnsi="Calibri"/>
          <w:color w:val="182433"/>
          <w:sz w:val="22"/>
        </w:rPr>
        <w:t>Findings link to statement indexes and evidence events.</w:t>
      </w:r>
    </w:p>
    <w:p>
      <w:pPr>
        <w:spacing w:before="0" w:after="160" w:line="280" w:lineRule="auto"/>
        <w:numPr>
          <w:ilvl w:val="0"/>
          <w:numId w:val="10"/>
        </w:numPr>
      </w:pPr>
      <w:r>
        <w:rPr>
          <w:rFonts w:ascii="Calibri" w:hAnsi="Calibri"/>
          <w:color w:val="182433"/>
          <w:sz w:val="22"/>
        </w:rPr>
        <w:t>Loading, empty, error, timeout, unsupported, and expired states are explicit.</w:t>
      </w:r>
    </w:p>
    <w:p>
      <w:pPr>
        <w:pStyle w:val="Heading1"/>
      </w:pPr>
      <w:r>
        <w:rPr>
          <w:rFonts w:ascii="Calibri" w:hAnsi="Calibri"/>
          <w:color w:val="2E74B5"/>
          <w:sz w:val="32"/>
        </w:rPr>
        <w:t>16. Deployment architecture and prerequisites</w:t>
      </w:r>
    </w:p>
    <w:p>
      <w:pPr>
        <w:pStyle w:val="Heading2"/>
      </w:pPr>
      <w:r>
        <w:rPr>
          <w:rFonts w:ascii="Calibri" w:hAnsi="Calibri"/>
          <w:color w:val="2E74B5"/>
          <w:sz w:val="26"/>
        </w:rPr>
        <w:t>16.1 Existing foundation to preserve</w:t>
      </w:r>
    </w:p>
    <w:p>
      <w:pPr>
        <w:spacing w:before="0" w:after="160" w:line="280" w:lineRule="auto"/>
        <w:numPr>
          <w:ilvl w:val="0"/>
          <w:numId w:val="10"/>
        </w:numPr>
      </w:pPr>
      <w:r>
        <w:rPr>
          <w:rFonts w:ascii="Calibri" w:hAnsi="Calibri"/>
          <w:color w:val="182433"/>
          <w:sz w:val="22"/>
        </w:rPr>
        <w:t>Next.js frontend on Cloud Run.</w:t>
      </w:r>
    </w:p>
    <w:p>
      <w:pPr>
        <w:spacing w:before="0" w:after="160" w:line="280" w:lineRule="auto"/>
        <w:numPr>
          <w:ilvl w:val="0"/>
          <w:numId w:val="10"/>
        </w:numPr>
      </w:pPr>
      <w:r>
        <w:rPr>
          <w:rFonts w:ascii="Calibri" w:hAnsi="Calibri"/>
          <w:color w:val="182433"/>
          <w:sz w:val="22"/>
        </w:rPr>
        <w:t>FastAPI backend on Cloud Run and GKE.</w:t>
      </w:r>
    </w:p>
    <w:p>
      <w:pPr>
        <w:spacing w:before="0" w:after="160" w:line="280" w:lineRule="auto"/>
        <w:numPr>
          <w:ilvl w:val="0"/>
          <w:numId w:val="10"/>
        </w:numPr>
      </w:pPr>
      <w:r>
        <w:rPr>
          <w:rFonts w:ascii="Calibri" w:hAnsi="Calibri"/>
          <w:color w:val="182433"/>
          <w:sz w:val="22"/>
        </w:rPr>
        <w:t>Cloud SQL PostgreSQL 18 for application metadata.</w:t>
      </w:r>
    </w:p>
    <w:p>
      <w:pPr>
        <w:spacing w:before="0" w:after="160" w:line="280" w:lineRule="auto"/>
        <w:numPr>
          <w:ilvl w:val="0"/>
          <w:numId w:val="10"/>
        </w:numPr>
      </w:pPr>
      <w:r>
        <w:rPr>
          <w:rFonts w:ascii="Calibri" w:hAnsi="Calibri"/>
          <w:color w:val="182433"/>
          <w:sz w:val="22"/>
        </w:rPr>
        <w:t>GKE Autopilot, Artifact Registry, Workload Identity, and CI/CD foundations.</w:t>
      </w:r>
    </w:p>
    <w:p>
      <w:r>
        <w:rPr>
          <w:rFonts w:ascii="Calibri" w:hAnsi="Calibri"/>
          <w:color w:val="182433"/>
          <w:sz w:val="22"/>
        </w:rPr>
        <w:t>No existing Cloud SQL, GKE, Cloud Run, Artifact Registry, IAM, or networking resource is rebuilt by default.</w:t>
      </w:r>
    </w:p>
    <w:p>
      <w:pPr>
        <w:pStyle w:val="Heading2"/>
      </w:pPr>
      <w:r>
        <w:t>16.2 MVP implementation status</w:t>
      </w:r>
    </w:p>
    <w:p>
      <w:pPr>
        <w:spacing w:before="0" w:after="160" w:line="280" w:lineRule="auto"/>
      </w:pPr>
      <w:r>
        <w:t>Completed in the release-candidate branches:</w:t>
      </w:r>
    </w:p>
    <w:p>
      <w:pPr>
        <w:spacing w:before="0" w:after="160" w:line="280" w:lineRule="auto"/>
        <w:numPr>
          <w:ilvl w:val="0"/>
          <w:numId w:val="10"/>
        </w:numPr>
      </w:pPr>
      <w:r>
        <w:t>Repaired the backend baseline and added green pull-request CI.</w:t>
      </w:r>
    </w:p>
    <w:p>
      <w:pPr>
        <w:spacing w:before="0" w:after="160" w:line="280" w:lineRule="auto"/>
        <w:numPr>
          <w:ilvl w:val="0"/>
          <w:numId w:val="10"/>
        </w:numPr>
      </w:pPr>
      <w:r>
        <w:t>Added SQLAlchemy domain models and Alembic migrations for sanitized report metadata and optional Clerk ownership.</w:t>
      </w:r>
    </w:p>
    <w:p>
      <w:pPr>
        <w:spacing w:before="0" w:after="160" w:line="280" w:lineRule="auto"/>
        <w:numPr>
          <w:ilvl w:val="0"/>
          <w:numId w:val="10"/>
        </w:numPr>
      </w:pPr>
      <w:r>
        <w:t>Packaged PostgreSQL 18 server binaries in the backend simulator image.</w:t>
      </w:r>
    </w:p>
    <w:p>
      <w:pPr>
        <w:spacing w:before="0" w:after="160" w:line="280" w:lineRule="auto"/>
        <w:numPr>
          <w:ilvl w:val="0"/>
          <w:numId w:val="10"/>
        </w:numPr>
      </w:pPr>
      <w:r>
        <w:t>Increased simulator memory and ephemeral-storage limits and provided a bounded writable /tmp volume.</w:t>
      </w:r>
    </w:p>
    <w:p>
      <w:pPr>
        <w:spacing w:before="0" w:after="160" w:line="280" w:lineRule="auto"/>
        <w:numPr>
          <w:ilvl w:val="0"/>
          <w:numId w:val="10"/>
        </w:numPr>
      </w:pPr>
      <w:r>
        <w:t>Gated the synchronous MVP to one simulator and one control instance, with active-analysis and creation-rate limits.</w:t>
      </w:r>
    </w:p>
    <w:p>
      <w:pPr>
        <w:spacing w:before="0" w:after="160" w:line="280" w:lineRule="auto"/>
        <w:numPr>
          <w:ilvl w:val="0"/>
          <w:numId w:val="10"/>
        </w:numPr>
      </w:pPr>
      <w:r>
        <w:t>Enabled aiplatform.googleapis.com and granted the runtime identity roles/aiplatform.user.</w:t>
      </w:r>
    </w:p>
    <w:p>
      <w:pPr>
        <w:spacing w:before="0" w:after="160" w:line="280" w:lineRule="auto"/>
        <w:numPr>
          <w:ilvl w:val="0"/>
          <w:numId w:val="10"/>
        </w:numPr>
      </w:pPr>
      <w:r>
        <w:t>Added explicit stable-model Gemini configuration without repository credentials.</w:t>
      </w:r>
    </w:p>
    <w:p>
      <w:pPr>
        <w:spacing w:before="0" w:after="160" w:line="280" w:lineRule="auto"/>
        <w:numPr>
          <w:ilvl w:val="0"/>
          <w:numId w:val="10"/>
        </w:numPr>
      </w:pPr>
      <w:r>
        <w:t>Routed browser uploads through the Next.js server proxy and forwarded only the generated Clerk bearer token when authentication is configured.</w:t>
      </w:r>
    </w:p>
    <w:p>
      <w:pPr/>
      <w:r>
        <w:t>Pending operational action: merge and deploy the release-candidate pull requests after explicit approval. Clerk credentials must be configured atomically on both services before changing CLERK_AUTH_REQUIRED from false.</w:t>
      </w:r>
    </w:p>
    <w:p>
      <w:r>
        <w:rPr>
          <w:rFonts w:ascii="Calibri" w:hAnsi="Calibri"/>
          <w:color w:val="182433"/>
          <w:sz w:val="22"/>
        </w:rPr>
        <w:t>Production architecture replaces in-process sandbox management with an asynchronous, isolated worker/job per analysis.</w:t>
      </w:r>
    </w:p>
    <w:p>
      <w:r>
        <w:br w:type="page"/>
      </w:r>
    </w:p>
    <w:p>
      <w:pPr>
        <w:pStyle w:val="Heading1"/>
      </w:pPr>
      <w:r>
        <w:rPr>
          <w:rFonts w:ascii="Calibri" w:hAnsi="Calibri"/>
          <w:color w:val="2E74B5"/>
          <w:sz w:val="32"/>
        </w:rPr>
        <w:t>17. Solo six-hour delivery plan</w:t>
      </w:r>
    </w:p>
    <w:p>
      <w:r>
        <w:rPr>
          <w:rFonts w:ascii="Calibri" w:hAnsi="Calibri"/>
          <w:color w:val="182433"/>
          <w:sz w:val="22"/>
        </w:rPr>
        <w:t>The sequence is evidence-first. If a milestone overruns, cut visual breadth before cutting deterministic verification.</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001"/>
        <w:gridCol w:w="3014"/>
        <w:gridCol w:w="5345"/>
      </w:tblGrid>
      <w:tr>
        <w:trPr>
          <w:tblHeader w:val="true"/>
        </w:trPr>
        <w:tc>
          <w:tcPr>
            <w:tcW w:type="dxa" w:w="1001"/>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Time</w:t>
            </w:r>
          </w:p>
        </w:tc>
        <w:tc>
          <w:tcPr>
            <w:tcW w:type="dxa" w:w="3014"/>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Deliverable</w:t>
            </w:r>
          </w:p>
        </w:tc>
        <w:tc>
          <w:tcPr>
            <w:tcW w:type="dxa" w:w="5345"/>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Exit condition</w:t>
            </w:r>
          </w:p>
        </w:tc>
      </w:tr>
      <w:tr>
        <w:tc>
          <w:tcPr>
            <w:tcW w:type="dxa" w:w="1001"/>
            <w:vAlign w:val="center"/>
            <w:tcMar>
              <w:top w:w="80" w:type="dxa"/>
              <w:start w:w="120" w:type="dxa"/>
              <w:bottom w:w="80" w:type="dxa"/>
              <w:end w:w="120" w:type="dxa"/>
            </w:tcMar>
          </w:tcPr>
          <w:p>
            <w:pPr>
              <w:spacing w:before="0" w:after="40" w:line="252" w:lineRule="auto"/>
            </w:pPr>
            <w:r>
              <w:rPr>
                <w:rFonts w:ascii="Calibri" w:hAnsi="Calibri"/>
                <w:color w:val="182433"/>
                <w:sz w:val="18"/>
              </w:rPr>
              <w:t>0:00-0:30</w:t>
            </w:r>
          </w:p>
        </w:tc>
        <w:tc>
          <w:tcPr>
            <w:tcW w:type="dxa" w:w="3014"/>
            <w:vAlign w:val="center"/>
            <w:tcMar>
              <w:top w:w="80" w:type="dxa"/>
              <w:start w:w="120" w:type="dxa"/>
              <w:bottom w:w="80" w:type="dxa"/>
              <w:end w:w="120" w:type="dxa"/>
            </w:tcMar>
          </w:tcPr>
          <w:p>
            <w:pPr>
              <w:spacing w:before="0" w:after="40" w:line="252" w:lineRule="auto"/>
            </w:pPr>
            <w:r>
              <w:rPr>
                <w:rFonts w:ascii="Calibri" w:hAnsi="Calibri"/>
                <w:color w:val="182433"/>
                <w:sz w:val="18"/>
              </w:rPr>
              <w:t>Repair baseline</w:t>
            </w:r>
          </w:p>
        </w:tc>
        <w:tc>
          <w:tcPr>
            <w:tcW w:type="dxa" w:w="5345"/>
            <w:vAlign w:val="center"/>
            <w:tcMar>
              <w:top w:w="80" w:type="dxa"/>
              <w:start w:w="120" w:type="dxa"/>
              <w:bottom w:w="80" w:type="dxa"/>
              <w:end w:w="120" w:type="dxa"/>
            </w:tcMar>
          </w:tcPr>
          <w:p>
            <w:pPr>
              <w:spacing w:before="0" w:after="40" w:line="252" w:lineRule="auto"/>
            </w:pPr>
            <w:r>
              <w:rPr>
                <w:rFonts w:ascii="Calibri" w:hAnsi="Calibri"/>
                <w:color w:val="182433"/>
                <w:sz w:val="18"/>
              </w:rPr>
              <w:t>Ruff, compile, and existing tests pass; incomplete Clerk code no longer blocks CI.</w:t>
            </w:r>
          </w:p>
        </w:tc>
      </w:tr>
      <w:tr>
        <w:tc>
          <w:tcPr>
            <w:tcW w:type="dxa" w:w="1001"/>
            <w:vAlign w:val="center"/>
            <w:tcMar>
              <w:top w:w="80" w:type="dxa"/>
              <w:start w:w="120" w:type="dxa"/>
              <w:bottom w:w="80" w:type="dxa"/>
              <w:end w:w="120" w:type="dxa"/>
            </w:tcMar>
          </w:tcPr>
          <w:p>
            <w:pPr>
              <w:spacing w:before="0" w:after="40" w:line="252" w:lineRule="auto"/>
            </w:pPr>
            <w:r>
              <w:rPr>
                <w:rFonts w:ascii="Calibri" w:hAnsi="Calibri"/>
                <w:color w:val="182433"/>
                <w:sz w:val="18"/>
              </w:rPr>
              <w:t>0:30-1:20</w:t>
            </w:r>
          </w:p>
        </w:tc>
        <w:tc>
          <w:tcPr>
            <w:tcW w:type="dxa" w:w="3014"/>
            <w:vAlign w:val="center"/>
            <w:tcMar>
              <w:top w:w="80" w:type="dxa"/>
              <w:start w:w="120" w:type="dxa"/>
              <w:bottom w:w="80" w:type="dxa"/>
              <w:end w:w="120" w:type="dxa"/>
            </w:tcMar>
          </w:tcPr>
          <w:p>
            <w:pPr>
              <w:spacing w:before="0" w:after="40" w:line="252" w:lineRule="auto"/>
            </w:pPr>
            <w:r>
              <w:rPr>
                <w:rFonts w:ascii="Calibri" w:hAnsi="Calibri"/>
                <w:color w:val="182433"/>
                <w:sz w:val="18"/>
              </w:rPr>
              <w:t>Domain and upload validation</w:t>
            </w:r>
          </w:p>
        </w:tc>
        <w:tc>
          <w:tcPr>
            <w:tcW w:type="dxa" w:w="5345"/>
            <w:vAlign w:val="center"/>
            <w:tcMar>
              <w:top w:w="80" w:type="dxa"/>
              <w:start w:w="120" w:type="dxa"/>
              <w:bottom w:w="80" w:type="dxa"/>
              <w:end w:w="120" w:type="dxa"/>
            </w:tcMar>
          </w:tcPr>
          <w:p>
            <w:pPr>
              <w:spacing w:before="0" w:after="40" w:line="252" w:lineRule="auto"/>
            </w:pPr>
            <w:r>
              <w:rPr>
                <w:rFonts w:ascii="Calibri" w:hAnsi="Calibri"/>
                <w:color w:val="182433"/>
                <w:sz w:val="18"/>
              </w:rPr>
              <w:t>Demo archive stages safely; domain migration and core Pydantic contracts exist.</w:t>
            </w:r>
          </w:p>
        </w:tc>
      </w:tr>
      <w:tr>
        <w:tc>
          <w:tcPr>
            <w:tcW w:type="dxa" w:w="1001"/>
            <w:vAlign w:val="center"/>
            <w:tcMar>
              <w:top w:w="80" w:type="dxa"/>
              <w:start w:w="120" w:type="dxa"/>
              <w:bottom w:w="80" w:type="dxa"/>
              <w:end w:w="120" w:type="dxa"/>
            </w:tcMar>
          </w:tcPr>
          <w:p>
            <w:pPr>
              <w:spacing w:before="0" w:after="40" w:line="252" w:lineRule="auto"/>
            </w:pPr>
            <w:r>
              <w:rPr>
                <w:rFonts w:ascii="Calibri" w:hAnsi="Calibri"/>
                <w:color w:val="182433"/>
                <w:sz w:val="18"/>
              </w:rPr>
              <w:t>1:20-2:20</w:t>
            </w:r>
          </w:p>
        </w:tc>
        <w:tc>
          <w:tcPr>
            <w:tcW w:type="dxa" w:w="3014"/>
            <w:vAlign w:val="center"/>
            <w:tcMar>
              <w:top w:w="80" w:type="dxa"/>
              <w:start w:w="120" w:type="dxa"/>
              <w:bottom w:w="80" w:type="dxa"/>
              <w:end w:w="120" w:type="dxa"/>
            </w:tcMar>
          </w:tcPr>
          <w:p>
            <w:pPr>
              <w:spacing w:before="0" w:after="40" w:line="252" w:lineRule="auto"/>
            </w:pPr>
            <w:r>
              <w:rPr>
                <w:rFonts w:ascii="Calibri" w:hAnsi="Calibri"/>
                <w:color w:val="182433"/>
                <w:sz w:val="18"/>
              </w:rPr>
              <w:t>Risk engine and history replay</w:t>
            </w:r>
          </w:p>
        </w:tc>
        <w:tc>
          <w:tcPr>
            <w:tcW w:type="dxa" w:w="5345"/>
            <w:vAlign w:val="center"/>
            <w:tcMar>
              <w:top w:w="80" w:type="dxa"/>
              <w:start w:w="120" w:type="dxa"/>
              <w:bottom w:w="80" w:type="dxa"/>
              <w:end w:w="120" w:type="dxa"/>
            </w:tcMar>
          </w:tcPr>
          <w:p>
            <w:pPr>
              <w:spacing w:before="0" w:after="40" w:line="252" w:lineRule="auto"/>
            </w:pPr>
            <w:r>
              <w:rPr>
                <w:rFonts w:ascii="Calibri" w:hAnsi="Calibri"/>
                <w:color w:val="182433"/>
                <w:sz w:val="18"/>
              </w:rPr>
              <w:t>Four rule families produce deterministic findings; pre-candidate schema reconstructs.</w:t>
            </w:r>
          </w:p>
        </w:tc>
      </w:tr>
      <w:tr>
        <w:tc>
          <w:tcPr>
            <w:tcW w:type="dxa" w:w="1001"/>
            <w:vAlign w:val="center"/>
            <w:tcMar>
              <w:top w:w="80" w:type="dxa"/>
              <w:start w:w="120" w:type="dxa"/>
              <w:bottom w:w="80" w:type="dxa"/>
              <w:end w:w="120" w:type="dxa"/>
            </w:tcMar>
          </w:tcPr>
          <w:p>
            <w:pPr>
              <w:spacing w:before="0" w:after="40" w:line="252" w:lineRule="auto"/>
            </w:pPr>
            <w:r>
              <w:rPr>
                <w:rFonts w:ascii="Calibri" w:hAnsi="Calibri"/>
                <w:color w:val="182433"/>
                <w:sz w:val="18"/>
              </w:rPr>
              <w:t>2:20-3:20</w:t>
            </w:r>
          </w:p>
        </w:tc>
        <w:tc>
          <w:tcPr>
            <w:tcW w:type="dxa" w:w="3014"/>
            <w:vAlign w:val="center"/>
            <w:tcMar>
              <w:top w:w="80" w:type="dxa"/>
              <w:start w:w="120" w:type="dxa"/>
              <w:bottom w:w="80" w:type="dxa"/>
              <w:end w:w="120" w:type="dxa"/>
            </w:tcMar>
          </w:tcPr>
          <w:p>
            <w:pPr>
              <w:spacing w:before="0" w:after="40" w:line="252" w:lineRule="auto"/>
            </w:pPr>
            <w:r>
              <w:rPr>
                <w:rFonts w:ascii="Calibri" w:hAnsi="Calibri"/>
                <w:color w:val="182433"/>
                <w:sz w:val="18"/>
              </w:rPr>
              <w:t>PostgreSQL simulation</w:t>
            </w:r>
          </w:p>
        </w:tc>
        <w:tc>
          <w:tcPr>
            <w:tcW w:type="dxa" w:w="5345"/>
            <w:vAlign w:val="center"/>
            <w:tcMar>
              <w:top w:w="80" w:type="dxa"/>
              <w:start w:w="120" w:type="dxa"/>
              <w:bottom w:w="80" w:type="dxa"/>
              <w:end w:w="120" w:type="dxa"/>
            </w:tcMar>
          </w:tcPr>
          <w:p>
            <w:pPr>
              <w:spacing w:before="0" w:after="40" w:line="252" w:lineRule="auto"/>
            </w:pPr>
            <w:r>
              <w:rPr>
                <w:rFonts w:ascii="Calibri" w:hAnsi="Calibri"/>
                <w:color w:val="182433"/>
                <w:sz w:val="18"/>
              </w:rPr>
              <w:t>Fixtures, candidate, integrity checks, and legacy queries execute in disposable Postgres.</w:t>
            </w:r>
          </w:p>
        </w:tc>
      </w:tr>
      <w:tr>
        <w:tc>
          <w:tcPr>
            <w:tcW w:type="dxa" w:w="1001"/>
            <w:vAlign w:val="center"/>
            <w:tcMar>
              <w:top w:w="80" w:type="dxa"/>
              <w:start w:w="120" w:type="dxa"/>
              <w:bottom w:w="80" w:type="dxa"/>
              <w:end w:w="120" w:type="dxa"/>
            </w:tcMar>
          </w:tcPr>
          <w:p>
            <w:pPr>
              <w:spacing w:before="0" w:after="40" w:line="252" w:lineRule="auto"/>
            </w:pPr>
            <w:r>
              <w:rPr>
                <w:rFonts w:ascii="Calibri" w:hAnsi="Calibri"/>
                <w:color w:val="182433"/>
                <w:sz w:val="18"/>
              </w:rPr>
              <w:t>3:20-4:05</w:t>
            </w:r>
          </w:p>
        </w:tc>
        <w:tc>
          <w:tcPr>
            <w:tcW w:type="dxa" w:w="3014"/>
            <w:vAlign w:val="center"/>
            <w:tcMar>
              <w:top w:w="80" w:type="dxa"/>
              <w:start w:w="120" w:type="dxa"/>
              <w:bottom w:w="80" w:type="dxa"/>
              <w:end w:w="120" w:type="dxa"/>
            </w:tcMar>
          </w:tcPr>
          <w:p>
            <w:pPr>
              <w:spacing w:before="0" w:after="40" w:line="252" w:lineRule="auto"/>
            </w:pPr>
            <w:r>
              <w:rPr>
                <w:rFonts w:ascii="Calibri" w:hAnsi="Calibri"/>
                <w:color w:val="182433"/>
                <w:sz w:val="18"/>
              </w:rPr>
              <w:t>Failure and recovery</w:t>
            </w:r>
          </w:p>
        </w:tc>
        <w:tc>
          <w:tcPr>
            <w:tcW w:type="dxa" w:w="5345"/>
            <w:vAlign w:val="center"/>
            <w:tcMar>
              <w:top w:w="80" w:type="dxa"/>
              <w:start w:w="120" w:type="dxa"/>
              <w:bottom w:w="80" w:type="dxa"/>
              <w:end w:w="120" w:type="dxa"/>
            </w:tcMar>
          </w:tcPr>
          <w:p>
            <w:pPr>
              <w:spacing w:before="0" w:after="40" w:line="252" w:lineRule="auto"/>
            </w:pPr>
            <w:r>
              <w:rPr>
                <w:rFonts w:ascii="Calibri" w:hAnsi="Calibri"/>
                <w:color w:val="182433"/>
                <w:sz w:val="18"/>
              </w:rPr>
              <w:t>Statement boundaries, retry outcomes, and recovery classes appear in evidence.</w:t>
            </w:r>
          </w:p>
        </w:tc>
      </w:tr>
      <w:tr>
        <w:tc>
          <w:tcPr>
            <w:tcW w:type="dxa" w:w="1001"/>
            <w:vAlign w:val="center"/>
            <w:tcMar>
              <w:top w:w="80" w:type="dxa"/>
              <w:start w:w="120" w:type="dxa"/>
              <w:bottom w:w="80" w:type="dxa"/>
              <w:end w:w="120" w:type="dxa"/>
            </w:tcMar>
          </w:tcPr>
          <w:p>
            <w:pPr>
              <w:spacing w:before="0" w:after="40" w:line="252" w:lineRule="auto"/>
            </w:pPr>
            <w:r>
              <w:rPr>
                <w:rFonts w:ascii="Calibri" w:hAnsi="Calibri"/>
                <w:color w:val="182433"/>
                <w:sz w:val="18"/>
              </w:rPr>
              <w:t>4:05-4:45</w:t>
            </w:r>
          </w:p>
        </w:tc>
        <w:tc>
          <w:tcPr>
            <w:tcW w:type="dxa" w:w="3014"/>
            <w:vAlign w:val="center"/>
            <w:tcMar>
              <w:top w:w="80" w:type="dxa"/>
              <w:start w:w="120" w:type="dxa"/>
              <w:bottom w:w="80" w:type="dxa"/>
              <w:end w:w="120" w:type="dxa"/>
            </w:tcMar>
          </w:tcPr>
          <w:p>
            <w:pPr>
              <w:spacing w:before="0" w:after="40" w:line="252" w:lineRule="auto"/>
            </w:pPr>
            <w:r>
              <w:rPr>
                <w:rFonts w:ascii="Calibri" w:hAnsi="Calibri"/>
                <w:color w:val="182433"/>
                <w:sz w:val="18"/>
              </w:rPr>
              <w:t>Gemini plan and verification</w:t>
            </w:r>
          </w:p>
        </w:tc>
        <w:tc>
          <w:tcPr>
            <w:tcW w:type="dxa" w:w="5345"/>
            <w:vAlign w:val="center"/>
            <w:tcMar>
              <w:top w:w="80" w:type="dxa"/>
              <w:start w:w="120" w:type="dxa"/>
              <w:bottom w:w="80" w:type="dxa"/>
              <w:end w:w="120" w:type="dxa"/>
            </w:tcMar>
          </w:tcPr>
          <w:p>
            <w:pPr>
              <w:spacing w:before="0" w:after="40" w:line="252" w:lineRule="auto"/>
            </w:pPr>
            <w:r>
              <w:rPr>
                <w:rFonts w:ascii="Calibri" w:hAnsi="Calibri"/>
                <w:color w:val="182433"/>
                <w:sz w:val="18"/>
              </w:rPr>
              <w:t>Structured candidate plan is policy-gated and rerun from clean baseline.</w:t>
            </w:r>
          </w:p>
        </w:tc>
      </w:tr>
      <w:tr>
        <w:tc>
          <w:tcPr>
            <w:tcW w:type="dxa" w:w="1001"/>
            <w:vAlign w:val="center"/>
            <w:tcMar>
              <w:top w:w="80" w:type="dxa"/>
              <w:start w:w="120" w:type="dxa"/>
              <w:bottom w:w="80" w:type="dxa"/>
              <w:end w:w="120" w:type="dxa"/>
            </w:tcMar>
          </w:tcPr>
          <w:p>
            <w:pPr>
              <w:spacing w:before="0" w:after="40" w:line="252" w:lineRule="auto"/>
            </w:pPr>
            <w:r>
              <w:rPr>
                <w:rFonts w:ascii="Calibri" w:hAnsi="Calibri"/>
                <w:color w:val="182433"/>
                <w:sz w:val="18"/>
              </w:rPr>
              <w:t>4:45-5:30</w:t>
            </w:r>
          </w:p>
        </w:tc>
        <w:tc>
          <w:tcPr>
            <w:tcW w:type="dxa" w:w="3014"/>
            <w:vAlign w:val="center"/>
            <w:tcMar>
              <w:top w:w="80" w:type="dxa"/>
              <w:start w:w="120" w:type="dxa"/>
              <w:bottom w:w="80" w:type="dxa"/>
              <w:end w:w="120" w:type="dxa"/>
            </w:tcMar>
          </w:tcPr>
          <w:p>
            <w:pPr>
              <w:spacing w:before="0" w:after="40" w:line="252" w:lineRule="auto"/>
            </w:pPr>
            <w:r>
              <w:rPr>
                <w:rFonts w:ascii="Calibri" w:hAnsi="Calibri"/>
                <w:color w:val="182433"/>
                <w:sz w:val="18"/>
              </w:rPr>
              <w:t>Compact frontend</w:t>
            </w:r>
          </w:p>
        </w:tc>
        <w:tc>
          <w:tcPr>
            <w:tcW w:type="dxa" w:w="5345"/>
            <w:vAlign w:val="center"/>
            <w:tcMar>
              <w:top w:w="80" w:type="dxa"/>
              <w:start w:w="120" w:type="dxa"/>
              <w:bottom w:w="80" w:type="dxa"/>
              <w:end w:w="120" w:type="dxa"/>
            </w:tcMar>
          </w:tcPr>
          <w:p>
            <w:pPr>
              <w:spacing w:before="0" w:after="40" w:line="252" w:lineRule="auto"/>
            </w:pPr>
            <w:r>
              <w:rPr>
                <w:rFonts w:ascii="Calibri" w:hAnsi="Calibri"/>
                <w:color w:val="182433"/>
                <w:sz w:val="18"/>
              </w:rPr>
              <w:t>Six-stage stepper renders the built-in demo and live report data.</w:t>
            </w:r>
          </w:p>
        </w:tc>
      </w:tr>
      <w:tr>
        <w:tc>
          <w:tcPr>
            <w:tcW w:type="dxa" w:w="1001"/>
            <w:vAlign w:val="center"/>
            <w:tcMar>
              <w:top w:w="80" w:type="dxa"/>
              <w:start w:w="120" w:type="dxa"/>
              <w:bottom w:w="80" w:type="dxa"/>
              <w:end w:w="120" w:type="dxa"/>
            </w:tcMar>
          </w:tcPr>
          <w:p>
            <w:pPr>
              <w:spacing w:before="0" w:after="40" w:line="252" w:lineRule="auto"/>
            </w:pPr>
            <w:r>
              <w:rPr>
                <w:rFonts w:ascii="Calibri" w:hAnsi="Calibri"/>
                <w:color w:val="182433"/>
                <w:sz w:val="18"/>
              </w:rPr>
              <w:t>5:30-6:00</w:t>
            </w:r>
          </w:p>
        </w:tc>
        <w:tc>
          <w:tcPr>
            <w:tcW w:type="dxa" w:w="3014"/>
            <w:vAlign w:val="center"/>
            <w:tcMar>
              <w:top w:w="80" w:type="dxa"/>
              <w:start w:w="120" w:type="dxa"/>
              <w:bottom w:w="80" w:type="dxa"/>
              <w:end w:w="120" w:type="dxa"/>
            </w:tcMar>
          </w:tcPr>
          <w:p>
            <w:pPr>
              <w:spacing w:before="0" w:after="40" w:line="252" w:lineRule="auto"/>
            </w:pPr>
            <w:r>
              <w:rPr>
                <w:rFonts w:ascii="Calibri" w:hAnsi="Calibri"/>
                <w:color w:val="182433"/>
                <w:sz w:val="18"/>
              </w:rPr>
              <w:t>Verification and rehearsal</w:t>
            </w:r>
          </w:p>
        </w:tc>
        <w:tc>
          <w:tcPr>
            <w:tcW w:type="dxa" w:w="5345"/>
            <w:vAlign w:val="center"/>
            <w:tcMar>
              <w:top w:w="80" w:type="dxa"/>
              <w:start w:w="120" w:type="dxa"/>
              <w:bottom w:w="80" w:type="dxa"/>
              <w:end w:w="120" w:type="dxa"/>
            </w:tcMar>
          </w:tcPr>
          <w:p>
            <w:pPr>
              <w:spacing w:before="0" w:after="40" w:line="252" w:lineRule="auto"/>
            </w:pPr>
            <w:r>
              <w:rPr>
                <w:rFonts w:ascii="Calibri" w:hAnsi="Calibri"/>
                <w:color w:val="182433"/>
                <w:sz w:val="18"/>
              </w:rPr>
              <w:t>Backend/frontend tests pass; live demo completes; limitations are visible.</w:t>
            </w:r>
          </w:p>
        </w:tc>
      </w:tr>
    </w:tbl>
    <w:p>
      <w:pPr>
        <w:spacing w:after="40"/>
      </w:pPr>
    </w:p>
    <w:p>
      <w:r>
        <w:rPr>
          <w:rFonts w:ascii="Calibri" w:hAnsi="Calibri"/>
          <w:color w:val="182433"/>
          <w:sz w:val="22"/>
        </w:rPr>
        <w:t>Deferred immediately when time is at risk:</w:t>
      </w:r>
    </w:p>
    <w:p>
      <w:pPr>
        <w:spacing w:before="0" w:after="160" w:line="280" w:lineRule="auto"/>
        <w:numPr>
          <w:ilvl w:val="0"/>
          <w:numId w:val="10"/>
        </w:numPr>
      </w:pPr>
      <w:r>
        <w:rPr>
          <w:rFonts w:ascii="Calibri" w:hAnsi="Calibri"/>
          <w:color w:val="182433"/>
          <w:sz w:val="22"/>
        </w:rPr>
        <w:t>Clerk authentication and user history.</w:t>
      </w:r>
    </w:p>
    <w:p>
      <w:pPr>
        <w:spacing w:before="0" w:after="160" w:line="280" w:lineRule="auto"/>
        <w:numPr>
          <w:ilvl w:val="0"/>
          <w:numId w:val="10"/>
        </w:numPr>
      </w:pPr>
      <w:r>
        <w:rPr>
          <w:rFonts w:ascii="Calibri" w:hAnsi="Calibri"/>
          <w:color w:val="182433"/>
          <w:sz w:val="22"/>
        </w:rPr>
        <w:t>CSV fixture mapping.</w:t>
      </w:r>
    </w:p>
    <w:p>
      <w:pPr>
        <w:spacing w:before="0" w:after="160" w:line="280" w:lineRule="auto"/>
        <w:numPr>
          <w:ilvl w:val="0"/>
          <w:numId w:val="10"/>
        </w:numPr>
      </w:pPr>
      <w:r>
        <w:rPr>
          <w:rFonts w:ascii="Calibri" w:hAnsi="Calibri"/>
          <w:color w:val="182433"/>
          <w:sz w:val="22"/>
        </w:rPr>
        <w:t>Asynchronous workers and live event streaming.</w:t>
      </w:r>
    </w:p>
    <w:p>
      <w:pPr>
        <w:spacing w:before="0" w:after="160" w:line="280" w:lineRule="auto"/>
        <w:numPr>
          <w:ilvl w:val="0"/>
          <w:numId w:val="10"/>
        </w:numPr>
      </w:pPr>
      <w:r>
        <w:rPr>
          <w:rFonts w:ascii="Calibri" w:hAnsi="Calibri"/>
          <w:color w:val="182433"/>
          <w:sz w:val="22"/>
        </w:rPr>
        <w:t>Report PDF export.</w:t>
      </w:r>
    </w:p>
    <w:p>
      <w:pPr>
        <w:spacing w:before="0" w:after="160" w:line="280" w:lineRule="auto"/>
        <w:numPr>
          <w:ilvl w:val="0"/>
          <w:numId w:val="10"/>
        </w:numPr>
      </w:pPr>
      <w:r>
        <w:rPr>
          <w:rFonts w:ascii="Calibri" w:hAnsi="Calibri"/>
          <w:color w:val="182433"/>
          <w:sz w:val="22"/>
        </w:rPr>
        <w:t>GitHub pull-request integration.</w:t>
      </w:r>
    </w:p>
    <w:p>
      <w:pPr>
        <w:spacing w:before="0" w:after="160" w:line="280" w:lineRule="auto"/>
        <w:numPr>
          <w:ilvl w:val="0"/>
          <w:numId w:val="10"/>
        </w:numPr>
      </w:pPr>
      <w:r>
        <w:rPr>
          <w:rFonts w:ascii="Calibri" w:hAnsi="Calibri"/>
          <w:color w:val="182433"/>
          <w:sz w:val="22"/>
        </w:rPr>
        <w:t>User-authored policy configuration.</w:t>
      </w:r>
    </w:p>
    <w:p>
      <w:pPr>
        <w:pStyle w:val="Heading1"/>
      </w:pPr>
      <w:r>
        <w:rPr>
          <w:rFonts w:ascii="Calibri" w:hAnsi="Calibri"/>
          <w:color w:val="2E74B5"/>
          <w:sz w:val="32"/>
        </w:rPr>
        <w:t>18. Test and acceptance plan</w:t>
      </w:r>
    </w:p>
    <w:p>
      <w:pPr>
        <w:pStyle w:val="Heading2"/>
      </w:pPr>
      <w:r>
        <w:rPr>
          <w:rFonts w:ascii="Calibri" w:hAnsi="Calibri"/>
          <w:color w:val="2E74B5"/>
          <w:sz w:val="26"/>
        </w:rPr>
        <w:t>18.1 Deterministic rule tests</w:t>
      </w:r>
    </w:p>
    <w:p>
      <w:pPr>
        <w:spacing w:before="0" w:after="160" w:line="280" w:lineRule="auto"/>
        <w:numPr>
          <w:ilvl w:val="0"/>
          <w:numId w:val="10"/>
        </w:numPr>
      </w:pPr>
      <w:r>
        <w:rPr>
          <w:rFonts w:ascii="Calibri" w:hAnsi="Calibri"/>
          <w:color w:val="182433"/>
          <w:sz w:val="22"/>
        </w:rPr>
        <w:t>A nullable column addition without a default passes destructive/data checks.</w:t>
      </w:r>
    </w:p>
    <w:p>
      <w:pPr>
        <w:spacing w:before="0" w:after="160" w:line="280" w:lineRule="auto"/>
        <w:numPr>
          <w:ilvl w:val="0"/>
          <w:numId w:val="10"/>
        </w:numPr>
      </w:pPr>
      <w:r>
        <w:rPr>
          <w:rFonts w:ascii="Consolas" w:hAnsi="Consolas"/>
          <w:color w:val="1F4D78"/>
          <w:sz w:val="21"/>
          <w:shd w:fill="EEF2F6"/>
        </w:rPr>
        <w:t>DROP COLUMN</w:t>
      </w:r>
      <w:r>
        <w:rPr>
          <w:rFonts w:ascii="Calibri" w:hAnsi="Calibri"/>
          <w:color w:val="182433"/>
          <w:sz w:val="22"/>
        </w:rPr>
        <w:t xml:space="preserve"> produces a critical data-loss finding.</w:t>
      </w:r>
    </w:p>
    <w:p>
      <w:pPr>
        <w:spacing w:before="0" w:after="160" w:line="280" w:lineRule="auto"/>
        <w:numPr>
          <w:ilvl w:val="0"/>
          <w:numId w:val="10"/>
        </w:numPr>
      </w:pPr>
      <w:r>
        <w:rPr>
          <w:rFonts w:ascii="Consolas" w:hAnsi="Consolas"/>
          <w:color w:val="1F4D78"/>
          <w:sz w:val="21"/>
          <w:shd w:fill="EEF2F6"/>
        </w:rPr>
        <w:t>TRUNCATE</w:t>
      </w:r>
      <w:r>
        <w:rPr>
          <w:rFonts w:ascii="Calibri" w:hAnsi="Calibri"/>
          <w:color w:val="182433"/>
          <w:sz w:val="22"/>
        </w:rPr>
        <w:t xml:space="preserve"> produces a critical destructive finding.</w:t>
      </w:r>
    </w:p>
    <w:p>
      <w:pPr>
        <w:spacing w:before="0" w:after="160" w:line="280" w:lineRule="auto"/>
        <w:numPr>
          <w:ilvl w:val="0"/>
          <w:numId w:val="10"/>
        </w:numPr>
      </w:pPr>
      <w:r>
        <w:rPr>
          <w:rFonts w:ascii="Calibri" w:hAnsi="Calibri"/>
          <w:color w:val="182433"/>
          <w:sz w:val="22"/>
        </w:rPr>
        <w:t>A required column without default against populated fixtures fails.</w:t>
      </w:r>
    </w:p>
    <w:p>
      <w:pPr>
        <w:spacing w:before="0" w:after="160" w:line="280" w:lineRule="auto"/>
        <w:numPr>
          <w:ilvl w:val="0"/>
          <w:numId w:val="10"/>
        </w:numPr>
      </w:pPr>
      <w:r>
        <w:rPr>
          <w:rFonts w:ascii="Calibri" w:hAnsi="Calibri"/>
          <w:color w:val="182433"/>
          <w:sz w:val="22"/>
        </w:rPr>
        <w:t>Duplicate fixture values block a unique constraint.</w:t>
      </w:r>
    </w:p>
    <w:p>
      <w:pPr>
        <w:spacing w:before="0" w:after="160" w:line="280" w:lineRule="auto"/>
        <w:numPr>
          <w:ilvl w:val="0"/>
          <w:numId w:val="10"/>
        </w:numPr>
      </w:pPr>
      <w:r>
        <w:rPr>
          <w:rFonts w:ascii="Calibri" w:hAnsi="Calibri"/>
          <w:color w:val="182433"/>
          <w:sz w:val="22"/>
        </w:rPr>
        <w:t>Historical invalid values block a check constraint.</w:t>
      </w:r>
    </w:p>
    <w:p>
      <w:pPr>
        <w:spacing w:before="0" w:after="160" w:line="280" w:lineRule="auto"/>
        <w:numPr>
          <w:ilvl w:val="0"/>
          <w:numId w:val="10"/>
        </w:numPr>
      </w:pPr>
      <w:r>
        <w:rPr>
          <w:rFonts w:ascii="Calibri" w:hAnsi="Calibri"/>
          <w:color w:val="182433"/>
          <w:sz w:val="22"/>
        </w:rPr>
        <w:t>A removed or renamed column breaks a matching legacy query.</w:t>
      </w:r>
    </w:p>
    <w:p>
      <w:pPr>
        <w:spacing w:before="0" w:after="160" w:line="280" w:lineRule="auto"/>
        <w:numPr>
          <w:ilvl w:val="0"/>
          <w:numId w:val="10"/>
        </w:numPr>
      </w:pPr>
      <w:r>
        <w:rPr>
          <w:rFonts w:ascii="Calibri" w:hAnsi="Calibri"/>
          <w:color w:val="182433"/>
          <w:sz w:val="22"/>
        </w:rPr>
        <w:t>Lock-prone statements are labeled heuristic rather than measured.</w:t>
      </w:r>
    </w:p>
    <w:p>
      <w:pPr>
        <w:pStyle w:val="Heading2"/>
      </w:pPr>
      <w:r>
        <w:rPr>
          <w:rFonts w:ascii="Calibri" w:hAnsi="Calibri"/>
          <w:color w:val="2E74B5"/>
          <w:sz w:val="26"/>
        </w:rPr>
        <w:t>18.2 PostgreSQL integration tests</w:t>
      </w:r>
    </w:p>
    <w:p>
      <w:pPr>
        <w:spacing w:before="0" w:after="160" w:line="280" w:lineRule="auto"/>
        <w:numPr>
          <w:ilvl w:val="0"/>
          <w:numId w:val="10"/>
        </w:numPr>
      </w:pPr>
      <w:r>
        <w:rPr>
          <w:rFonts w:ascii="Calibri" w:hAnsi="Calibri"/>
          <w:color w:val="182433"/>
          <w:sz w:val="22"/>
        </w:rPr>
        <w:t>Complete prior migration history replays in lexical order.</w:t>
      </w:r>
    </w:p>
    <w:p>
      <w:pPr>
        <w:spacing w:before="0" w:after="160" w:line="280" w:lineRule="auto"/>
        <w:numPr>
          <w:ilvl w:val="0"/>
          <w:numId w:val="10"/>
        </w:numPr>
      </w:pPr>
      <w:r>
        <w:rPr>
          <w:rFonts w:ascii="Calibri" w:hAnsi="Calibri"/>
          <w:color w:val="182433"/>
          <w:sz w:val="22"/>
        </w:rPr>
        <w:t>Provider mismatch and missing migration files fail validation.</w:t>
      </w:r>
    </w:p>
    <w:p>
      <w:pPr>
        <w:spacing w:before="0" w:after="160" w:line="280" w:lineRule="auto"/>
        <w:numPr>
          <w:ilvl w:val="0"/>
          <w:numId w:val="10"/>
        </w:numPr>
      </w:pPr>
      <w:r>
        <w:rPr>
          <w:rFonts w:ascii="Calibri" w:hAnsi="Calibri"/>
          <w:color w:val="182433"/>
          <w:sz w:val="22"/>
        </w:rPr>
        <w:t>Candidate success produces the expected schema diff.</w:t>
      </w:r>
    </w:p>
    <w:p>
      <w:pPr>
        <w:spacing w:before="0" w:after="160" w:line="280" w:lineRule="auto"/>
        <w:numPr>
          <w:ilvl w:val="0"/>
          <w:numId w:val="10"/>
        </w:numPr>
      </w:pPr>
      <w:r>
        <w:rPr>
          <w:rFonts w:ascii="Calibri" w:hAnsi="Calibri"/>
          <w:color w:val="182433"/>
          <w:sz w:val="22"/>
        </w:rPr>
        <w:t>Fixture counts and checksums remain stable where preservation is expected.</w:t>
      </w:r>
    </w:p>
    <w:p>
      <w:pPr>
        <w:spacing w:before="0" w:after="160" w:line="280" w:lineRule="auto"/>
        <w:numPr>
          <w:ilvl w:val="0"/>
          <w:numId w:val="10"/>
        </w:numPr>
      </w:pPr>
      <w:r>
        <w:rPr>
          <w:rFonts w:ascii="Calibri" w:hAnsi="Calibri"/>
          <w:color w:val="182433"/>
          <w:sz w:val="22"/>
        </w:rPr>
        <w:t>Failure before statement 1 leaves baseline unchanged.</w:t>
      </w:r>
    </w:p>
    <w:p>
      <w:pPr>
        <w:spacing w:before="0" w:after="160" w:line="280" w:lineRule="auto"/>
        <w:numPr>
          <w:ilvl w:val="0"/>
          <w:numId w:val="10"/>
        </w:numPr>
      </w:pPr>
      <w:r>
        <w:rPr>
          <w:rFonts w:ascii="Calibri" w:hAnsi="Calibri"/>
          <w:color w:val="182433"/>
          <w:sz w:val="22"/>
        </w:rPr>
        <w:t>Failure after each statement records partial state.</w:t>
      </w:r>
    </w:p>
    <w:p>
      <w:pPr>
        <w:spacing w:before="0" w:after="160" w:line="280" w:lineRule="auto"/>
        <w:numPr>
          <w:ilvl w:val="0"/>
          <w:numId w:val="10"/>
        </w:numPr>
      </w:pPr>
      <w:r>
        <w:rPr>
          <w:rFonts w:ascii="Calibri" w:hAnsi="Calibri"/>
          <w:color w:val="182433"/>
          <w:sz w:val="22"/>
        </w:rPr>
        <w:t>Explicit transaction failure rolls back and is distinguished from committed partial state.</w:t>
      </w:r>
    </w:p>
    <w:p>
      <w:pPr>
        <w:spacing w:before="0" w:after="160" w:line="280" w:lineRule="auto"/>
        <w:numPr>
          <w:ilvl w:val="0"/>
          <w:numId w:val="10"/>
        </w:numPr>
      </w:pPr>
      <w:r>
        <w:rPr>
          <w:rFonts w:ascii="Calibri" w:hAnsi="Calibri"/>
          <w:color w:val="182433"/>
          <w:sz w:val="22"/>
        </w:rPr>
        <w:t>Retry succeeds only when the resulting state matches the target.</w:t>
      </w:r>
    </w:p>
    <w:p>
      <w:pPr>
        <w:spacing w:before="0" w:after="160" w:line="280" w:lineRule="auto"/>
        <w:numPr>
          <w:ilvl w:val="0"/>
          <w:numId w:val="10"/>
        </w:numPr>
      </w:pPr>
      <w:r>
        <w:rPr>
          <w:rFonts w:ascii="Calibri" w:hAnsi="Calibri"/>
          <w:color w:val="182433"/>
          <w:sz w:val="22"/>
        </w:rPr>
        <w:t>Destructive schema reversal is classified as data-irreversible when values are lost.</w:t>
      </w:r>
    </w:p>
    <w:p>
      <w:pPr>
        <w:spacing w:before="0" w:after="160" w:line="280" w:lineRule="auto"/>
        <w:numPr>
          <w:ilvl w:val="0"/>
          <w:numId w:val="10"/>
        </w:numPr>
      </w:pPr>
      <w:r>
        <w:rPr>
          <w:rFonts w:ascii="Calibri" w:hAnsi="Calibri"/>
          <w:color w:val="182433"/>
          <w:sz w:val="22"/>
        </w:rPr>
        <w:t>Every run cleans its data directory after success, error, and timeout.</w:t>
      </w:r>
    </w:p>
    <w:p>
      <w:pPr>
        <w:pStyle w:val="Heading2"/>
      </w:pPr>
      <w:r>
        <w:rPr>
          <w:rFonts w:ascii="Calibri" w:hAnsi="Calibri"/>
          <w:color w:val="2E74B5"/>
          <w:sz w:val="26"/>
        </w:rPr>
        <w:t>18.3 AI plan tests</w:t>
      </w:r>
    </w:p>
    <w:p>
      <w:pPr>
        <w:spacing w:before="0" w:after="160" w:line="280" w:lineRule="auto"/>
        <w:numPr>
          <w:ilvl w:val="0"/>
          <w:numId w:val="10"/>
        </w:numPr>
      </w:pPr>
      <w:r>
        <w:rPr>
          <w:rFonts w:ascii="Calibri" w:hAnsi="Calibri"/>
          <w:color w:val="182433"/>
          <w:sz w:val="22"/>
        </w:rPr>
        <w:t xml:space="preserve">Valid Gemini JSON parses into </w:t>
      </w:r>
      <w:r>
        <w:rPr>
          <w:rFonts w:ascii="Consolas" w:hAnsi="Consolas"/>
          <w:color w:val="1F4D78"/>
          <w:sz w:val="21"/>
          <w:shd w:fill="EEF2F6"/>
        </w:rPr>
        <w:t>RecoveryPlan</w:t>
      </w:r>
      <w:r>
        <w:rPr>
          <w:rFonts w:ascii="Calibri" w:hAnsi="Calibri"/>
          <w:color w:val="182433"/>
          <w:sz w:val="22"/>
        </w:rPr>
        <w:t>.</w:t>
      </w:r>
    </w:p>
    <w:p>
      <w:pPr>
        <w:spacing w:before="0" w:after="160" w:line="280" w:lineRule="auto"/>
        <w:numPr>
          <w:ilvl w:val="0"/>
          <w:numId w:val="10"/>
        </w:numPr>
      </w:pPr>
      <w:r>
        <w:rPr>
          <w:rFonts w:ascii="Calibri" w:hAnsi="Calibri"/>
          <w:color w:val="182433"/>
          <w:sz w:val="22"/>
        </w:rPr>
        <w:t>Invalid JSON receives one repair attempt and then deterministic fallback.</w:t>
      </w:r>
    </w:p>
    <w:p>
      <w:pPr>
        <w:spacing w:before="0" w:after="160" w:line="280" w:lineRule="auto"/>
        <w:numPr>
          <w:ilvl w:val="0"/>
          <w:numId w:val="10"/>
        </w:numPr>
      </w:pPr>
      <w:r>
        <w:rPr>
          <w:rFonts w:ascii="Calibri" w:hAnsi="Calibri"/>
          <w:color w:val="182433"/>
          <w:sz w:val="22"/>
        </w:rPr>
        <w:t>Schema-valid but forbidden SQL is rejected.</w:t>
      </w:r>
    </w:p>
    <w:p>
      <w:pPr>
        <w:spacing w:before="0" w:after="160" w:line="280" w:lineRule="auto"/>
        <w:numPr>
          <w:ilvl w:val="0"/>
          <w:numId w:val="10"/>
        </w:numPr>
      </w:pPr>
      <w:r>
        <w:rPr>
          <w:rFonts w:ascii="Calibri" w:hAnsi="Calibri"/>
          <w:color w:val="182433"/>
          <w:sz w:val="22"/>
        </w:rPr>
        <w:t>Schema-valid but semantically failing SQL is rejected by fresh simulation.</w:t>
      </w:r>
    </w:p>
    <w:p>
      <w:pPr>
        <w:spacing w:before="0" w:after="160" w:line="280" w:lineRule="auto"/>
        <w:numPr>
          <w:ilvl w:val="0"/>
          <w:numId w:val="10"/>
        </w:numPr>
      </w:pPr>
      <w:r>
        <w:rPr>
          <w:rFonts w:ascii="Calibri" w:hAnsi="Calibri"/>
          <w:color w:val="182433"/>
          <w:sz w:val="22"/>
        </w:rPr>
        <w:t xml:space="preserve">No plan receives </w:t>
      </w:r>
      <w:r>
        <w:rPr>
          <w:rFonts w:ascii="Consolas" w:hAnsi="Consolas"/>
          <w:color w:val="1F4D78"/>
          <w:sz w:val="21"/>
          <w:shd w:fill="EEF2F6"/>
        </w:rPr>
        <w:t>VERIFIED_FOR_REVIEW</w:t>
      </w:r>
      <w:r>
        <w:rPr>
          <w:rFonts w:ascii="Calibri" w:hAnsi="Calibri"/>
          <w:color w:val="182433"/>
          <w:sz w:val="22"/>
        </w:rPr>
        <w:t xml:space="preserve"> before verification completes.</w:t>
      </w:r>
    </w:p>
    <w:p>
      <w:pPr>
        <w:spacing w:before="0" w:after="160" w:line="280" w:lineRule="auto"/>
        <w:numPr>
          <w:ilvl w:val="0"/>
          <w:numId w:val="10"/>
        </w:numPr>
      </w:pPr>
      <w:r>
        <w:rPr>
          <w:rFonts w:ascii="Calibri" w:hAnsi="Calibri"/>
          <w:color w:val="182433"/>
          <w:sz w:val="22"/>
        </w:rPr>
        <w:t>Prompt payload contains no fixture values or raw legacy-query literals.</w:t>
      </w:r>
    </w:p>
    <w:p>
      <w:pPr>
        <w:pStyle w:val="Heading2"/>
      </w:pPr>
      <w:r>
        <w:rPr>
          <w:rFonts w:ascii="Calibri" w:hAnsi="Calibri"/>
          <w:color w:val="2E74B5"/>
          <w:sz w:val="26"/>
        </w:rPr>
        <w:t>18.4 Security tests</w:t>
      </w:r>
    </w:p>
    <w:p>
      <w:pPr>
        <w:spacing w:before="0" w:after="160" w:line="280" w:lineRule="auto"/>
        <w:numPr>
          <w:ilvl w:val="0"/>
          <w:numId w:val="10"/>
        </w:numPr>
      </w:pPr>
      <w:r>
        <w:rPr>
          <w:rFonts w:ascii="Calibri" w:hAnsi="Calibri"/>
          <w:color w:val="182433"/>
          <w:sz w:val="22"/>
        </w:rPr>
        <w:t>Zip path traversal, absolute paths, symlinks, duplicate normalized paths, nested archives, and zip bombs are rejected.</w:t>
      </w:r>
    </w:p>
    <w:p>
      <w:pPr>
        <w:spacing w:before="0" w:after="160" w:line="280" w:lineRule="auto"/>
        <w:numPr>
          <w:ilvl w:val="0"/>
          <w:numId w:val="10"/>
        </w:numPr>
      </w:pPr>
      <w:r>
        <w:rPr>
          <w:rFonts w:ascii="Calibri" w:hAnsi="Calibri"/>
          <w:color w:val="182433"/>
          <w:sz w:val="22"/>
        </w:rPr>
        <w:t>Oversized archives and statement/query counts are rejected.</w:t>
      </w:r>
    </w:p>
    <w:p>
      <w:pPr>
        <w:spacing w:before="0" w:after="160" w:line="280" w:lineRule="auto"/>
        <w:numPr>
          <w:ilvl w:val="0"/>
          <w:numId w:val="10"/>
        </w:numPr>
      </w:pPr>
      <w:r>
        <w:rPr>
          <w:rFonts w:ascii="Calibri" w:hAnsi="Calibri"/>
          <w:color w:val="182433"/>
          <w:sz w:val="22"/>
        </w:rPr>
        <w:t xml:space="preserve">Role/database administration and </w:t>
      </w:r>
      <w:r>
        <w:rPr>
          <w:rFonts w:ascii="Consolas" w:hAnsi="Consolas"/>
          <w:color w:val="1F4D78"/>
          <w:sz w:val="21"/>
          <w:shd w:fill="EEF2F6"/>
        </w:rPr>
        <w:t>COPY ... PROGRAM</w:t>
      </w:r>
      <w:r>
        <w:rPr>
          <w:rFonts w:ascii="Calibri" w:hAnsi="Calibri"/>
          <w:color w:val="182433"/>
          <w:sz w:val="22"/>
        </w:rPr>
        <w:t xml:space="preserve"> are rejected.</w:t>
      </w:r>
    </w:p>
    <w:p>
      <w:pPr>
        <w:spacing w:before="0" w:after="160" w:line="280" w:lineRule="auto"/>
        <w:numPr>
          <w:ilvl w:val="0"/>
          <w:numId w:val="10"/>
        </w:numPr>
      </w:pPr>
      <w:r>
        <w:rPr>
          <w:rFonts w:ascii="Calibri" w:hAnsi="Calibri"/>
          <w:color w:val="182433"/>
          <w:sz w:val="22"/>
        </w:rPr>
        <w:t>Long-running statements hit timeouts.</w:t>
      </w:r>
    </w:p>
    <w:p>
      <w:pPr>
        <w:spacing w:before="0" w:after="160" w:line="280" w:lineRule="auto"/>
        <w:numPr>
          <w:ilvl w:val="0"/>
          <w:numId w:val="10"/>
        </w:numPr>
      </w:pPr>
      <w:r>
        <w:rPr>
          <w:rFonts w:ascii="Calibri" w:hAnsi="Calibri"/>
          <w:color w:val="182433"/>
          <w:sz w:val="22"/>
        </w:rPr>
        <w:t>Logs and persisted rows contain no credentials, raw fixtures, or authorization tokens.</w:t>
      </w:r>
    </w:p>
    <w:p>
      <w:pPr>
        <w:spacing w:before="0" w:after="160" w:line="280" w:lineRule="auto"/>
        <w:numPr>
          <w:ilvl w:val="0"/>
          <w:numId w:val="10"/>
        </w:numPr>
      </w:pPr>
      <w:r>
        <w:rPr>
          <w:rFonts w:ascii="Calibri" w:hAnsi="Calibri"/>
          <w:color w:val="182433"/>
          <w:sz w:val="22"/>
        </w:rPr>
        <w:t>Expired and deleted analysis IDs cannot retrieve reports.</w:t>
      </w:r>
    </w:p>
    <w:p>
      <w:pPr>
        <w:pStyle w:val="Heading2"/>
      </w:pPr>
      <w:r>
        <w:rPr>
          <w:rFonts w:ascii="Calibri" w:hAnsi="Calibri"/>
          <w:color w:val="2E74B5"/>
          <w:sz w:val="26"/>
        </w:rPr>
        <w:t>18.5 Frontend tests</w:t>
      </w:r>
    </w:p>
    <w:p>
      <w:pPr>
        <w:spacing w:before="0" w:after="160" w:line="280" w:lineRule="auto"/>
        <w:numPr>
          <w:ilvl w:val="0"/>
          <w:numId w:val="10"/>
        </w:numPr>
      </w:pPr>
      <w:r>
        <w:rPr>
          <w:rFonts w:ascii="Calibri" w:hAnsi="Calibri"/>
          <w:color w:val="182433"/>
          <w:sz w:val="22"/>
        </w:rPr>
        <w:t>Upload, candidate selection, static-only, running, unsafe, conditional, verified, error, timeout, unsupported, and expired states render correctly.</w:t>
      </w:r>
    </w:p>
    <w:p>
      <w:pPr>
        <w:spacing w:before="0" w:after="160" w:line="280" w:lineRule="auto"/>
        <w:numPr>
          <w:ilvl w:val="0"/>
          <w:numId w:val="10"/>
        </w:numPr>
      </w:pPr>
      <w:r>
        <w:rPr>
          <w:rFonts w:ascii="Calibri" w:hAnsi="Calibri"/>
          <w:color w:val="182433"/>
          <w:sz w:val="22"/>
        </w:rPr>
        <w:t>Risk cards and timelines remain understandable without color.</w:t>
      </w:r>
    </w:p>
    <w:p>
      <w:pPr>
        <w:spacing w:before="0" w:after="160" w:line="280" w:lineRule="auto"/>
        <w:numPr>
          <w:ilvl w:val="0"/>
          <w:numId w:val="10"/>
        </w:numPr>
      </w:pPr>
      <w:r>
        <w:rPr>
          <w:rFonts w:ascii="Calibri" w:hAnsi="Calibri"/>
          <w:color w:val="182433"/>
          <w:sz w:val="22"/>
        </w:rPr>
        <w:t>The built-in demo completes upload through report.</w:t>
      </w:r>
    </w:p>
    <w:p>
      <w:pPr>
        <w:spacing w:before="0" w:after="160" w:line="280" w:lineRule="auto"/>
        <w:numPr>
          <w:ilvl w:val="0"/>
          <w:numId w:val="10"/>
        </w:numPr>
      </w:pPr>
      <w:r>
        <w:rPr>
          <w:rFonts w:ascii="Calibri" w:hAnsi="Calibri"/>
          <w:color w:val="182433"/>
          <w:sz w:val="22"/>
        </w:rPr>
        <w:t>Original and generated-plan verdicts cannot be confused.</w:t>
      </w:r>
    </w:p>
    <w:p>
      <w:pPr>
        <w:spacing w:before="0" w:after="160" w:line="280" w:lineRule="auto"/>
        <w:numPr>
          <w:ilvl w:val="0"/>
          <w:numId w:val="10"/>
        </w:numPr>
      </w:pPr>
      <w:r>
        <w:rPr>
          <w:rFonts w:ascii="Calibri" w:hAnsi="Calibri"/>
          <w:color w:val="182433"/>
          <w:sz w:val="22"/>
        </w:rPr>
        <w:t>Production execution is always displayed as not performed.</w:t>
      </w:r>
    </w:p>
    <w:p>
      <w:pPr>
        <w:pStyle w:val="Heading2"/>
      </w:pPr>
      <w:r>
        <w:rPr>
          <w:rFonts w:ascii="Calibri" w:hAnsi="Calibri"/>
          <w:color w:val="2E74B5"/>
          <w:sz w:val="26"/>
        </w:rPr>
        <w:t>18.6 Release acceptance</w:t>
      </w:r>
    </w:p>
    <w:p>
      <w:r>
        <w:rPr>
          <w:rFonts w:ascii="Calibri" w:hAnsi="Calibri"/>
          <w:color w:val="182433"/>
          <w:sz w:val="22"/>
        </w:rPr>
        <w:t>The MVP is accepted only when:</w:t>
      </w:r>
    </w:p>
    <w:p>
      <w:pPr>
        <w:spacing w:before="0" w:after="160" w:line="280" w:lineRule="auto"/>
        <w:numPr>
          <w:ilvl w:val="0"/>
          <w:numId w:val="16"/>
        </w:numPr>
      </w:pPr>
      <w:r>
        <w:rPr>
          <w:rFonts w:ascii="Calibri" w:hAnsi="Calibri"/>
          <w:color w:val="182433"/>
          <w:sz w:val="22"/>
        </w:rPr>
        <w:t>The built-in unsafe migration is deterministically blocked.</w:t>
      </w:r>
    </w:p>
    <w:p>
      <w:pPr>
        <w:spacing w:before="0" w:after="160" w:line="280" w:lineRule="auto"/>
        <w:numPr>
          <w:ilvl w:val="0"/>
          <w:numId w:val="16"/>
        </w:numPr>
      </w:pPr>
      <w:r>
        <w:rPr>
          <w:rFonts w:ascii="Calibri" w:hAnsi="Calibri"/>
          <w:color w:val="182433"/>
          <w:sz w:val="22"/>
        </w:rPr>
        <w:t>The old application contract failure is visible.</w:t>
      </w:r>
    </w:p>
    <w:p>
      <w:pPr>
        <w:spacing w:before="0" w:after="160" w:line="280" w:lineRule="auto"/>
        <w:numPr>
          <w:ilvl w:val="0"/>
          <w:numId w:val="16"/>
        </w:numPr>
      </w:pPr>
      <w:r>
        <w:rPr>
          <w:rFonts w:ascii="Calibri" w:hAnsi="Calibri"/>
          <w:color w:val="182433"/>
          <w:sz w:val="22"/>
        </w:rPr>
        <w:t>At least one interruption scenario demonstrates unsafe retry.</w:t>
      </w:r>
    </w:p>
    <w:p>
      <w:pPr>
        <w:spacing w:before="0" w:after="160" w:line="280" w:lineRule="auto"/>
        <w:numPr>
          <w:ilvl w:val="0"/>
          <w:numId w:val="16"/>
        </w:numPr>
      </w:pPr>
      <w:r>
        <w:rPr>
          <w:rFonts w:ascii="Calibri" w:hAnsi="Calibri"/>
          <w:color w:val="182433"/>
          <w:sz w:val="22"/>
        </w:rPr>
        <w:t>Gemini produces or falls back to an expand-and-contract candidate.</w:t>
      </w:r>
    </w:p>
    <w:p>
      <w:pPr>
        <w:spacing w:before="0" w:after="160" w:line="280" w:lineRule="auto"/>
        <w:numPr>
          <w:ilvl w:val="0"/>
          <w:numId w:val="16"/>
        </w:numPr>
      </w:pPr>
      <w:r>
        <w:rPr>
          <w:rFonts w:ascii="Calibri" w:hAnsi="Calibri"/>
          <w:color w:val="182433"/>
          <w:sz w:val="22"/>
        </w:rPr>
        <w:t>The candidate plan passes a clean PostgreSQL verification.</w:t>
      </w:r>
    </w:p>
    <w:p>
      <w:pPr>
        <w:spacing w:before="0" w:after="160" w:line="280" w:lineRule="auto"/>
        <w:numPr>
          <w:ilvl w:val="0"/>
          <w:numId w:val="16"/>
        </w:numPr>
      </w:pPr>
      <w:r>
        <w:rPr>
          <w:rFonts w:ascii="Calibri" w:hAnsi="Calibri"/>
          <w:color w:val="182433"/>
          <w:sz w:val="22"/>
        </w:rPr>
        <w:t xml:space="preserve">The final report says </w:t>
      </w:r>
      <w:r>
        <w:rPr>
          <w:rFonts w:ascii="Consolas" w:hAnsi="Consolas"/>
          <w:color w:val="1F4D78"/>
          <w:sz w:val="21"/>
          <w:shd w:fill="EEF2F6"/>
        </w:rPr>
        <w:t>VERIFIED_FOR_REVIEW</w:t>
      </w:r>
      <w:r>
        <w:rPr>
          <w:rFonts w:ascii="Calibri" w:hAnsi="Calibri"/>
          <w:color w:val="182433"/>
          <w:sz w:val="22"/>
        </w:rPr>
        <w:t>, not “safe to deploy.”</w:t>
      </w:r>
    </w:p>
    <w:p>
      <w:pPr>
        <w:spacing w:before="0" w:after="160" w:line="280" w:lineRule="auto"/>
        <w:numPr>
          <w:ilvl w:val="0"/>
          <w:numId w:val="16"/>
        </w:numPr>
      </w:pPr>
      <w:r>
        <w:rPr>
          <w:rFonts w:ascii="Calibri" w:hAnsi="Calibri"/>
          <w:color w:val="182433"/>
          <w:sz w:val="22"/>
        </w:rPr>
        <w:t>No production database connection exists anywhere in the flow.</w:t>
      </w:r>
    </w:p>
    <w:p>
      <w:pPr>
        <w:spacing w:before="0" w:after="160" w:line="280" w:lineRule="auto"/>
        <w:numPr>
          <w:ilvl w:val="0"/>
          <w:numId w:val="16"/>
        </w:numPr>
      </w:pPr>
      <w:r>
        <w:rPr>
          <w:rFonts w:ascii="Calibri" w:hAnsi="Calibri"/>
          <w:color w:val="182433"/>
          <w:sz w:val="22"/>
        </w:rPr>
        <w:t>All automated checks pass and the live demo completes in under five minutes.</w:t>
      </w:r>
    </w:p>
    <w:p>
      <w:pPr>
        <w:pStyle w:val="Heading1"/>
      </w:pPr>
      <w:r>
        <w:rPr>
          <w:rFonts w:ascii="Calibri" w:hAnsi="Calibri"/>
          <w:color w:val="2E74B5"/>
          <w:sz w:val="32"/>
        </w:rPr>
        <w:t>19. Demo script</w:t>
      </w:r>
    </w:p>
    <w:p>
      <w:pPr>
        <w:spacing w:before="0" w:after="160" w:line="280" w:lineRule="auto"/>
        <w:numPr>
          <w:ilvl w:val="0"/>
          <w:numId w:val="17"/>
        </w:numPr>
      </w:pPr>
      <w:r>
        <w:rPr>
          <w:rFonts w:ascii="Calibri" w:hAnsi="Calibri"/>
          <w:color w:val="182433"/>
          <w:sz w:val="22"/>
        </w:rPr>
        <w:t xml:space="preserve">Open RollbackReady and select </w:t>
      </w:r>
      <w:r>
        <w:rPr>
          <w:rFonts w:ascii="Calibri" w:hAnsi="Calibri"/>
          <w:b/>
          <w:color w:val="182433"/>
          <w:sz w:val="22"/>
        </w:rPr>
        <w:t>Load unsafe phone migration</w:t>
      </w:r>
      <w:r>
        <w:rPr>
          <w:rFonts w:ascii="Calibri" w:hAnsi="Calibri"/>
          <w:color w:val="182433"/>
          <w:sz w:val="22"/>
        </w:rPr>
        <w:t>.</w:t>
      </w:r>
    </w:p>
    <w:p>
      <w:pPr>
        <w:spacing w:before="0" w:after="160" w:line="280" w:lineRule="auto"/>
        <w:numPr>
          <w:ilvl w:val="0"/>
          <w:numId w:val="17"/>
        </w:numPr>
      </w:pPr>
      <w:r>
        <w:rPr>
          <w:rFonts w:ascii="Calibri" w:hAnsi="Calibri"/>
          <w:color w:val="182433"/>
          <w:sz w:val="22"/>
        </w:rPr>
        <w:t>Show the archive contents and the selected candidate migration.</w:t>
      </w:r>
    </w:p>
    <w:p>
      <w:pPr>
        <w:spacing w:before="0" w:after="160" w:line="280" w:lineRule="auto"/>
        <w:numPr>
          <w:ilvl w:val="0"/>
          <w:numId w:val="17"/>
        </w:numPr>
      </w:pPr>
      <w:r>
        <w:rPr>
          <w:rFonts w:ascii="Calibri" w:hAnsi="Calibri"/>
          <w:color w:val="182433"/>
          <w:sz w:val="22"/>
        </w:rPr>
        <w:t>Start analysis and move through the schema comparison.</w:t>
      </w:r>
    </w:p>
    <w:p>
      <w:pPr>
        <w:spacing w:before="0" w:after="160" w:line="280" w:lineRule="auto"/>
        <w:numPr>
          <w:ilvl w:val="0"/>
          <w:numId w:val="17"/>
        </w:numPr>
      </w:pPr>
      <w:r>
        <w:rPr>
          <w:rFonts w:ascii="Calibri" w:hAnsi="Calibri"/>
          <w:color w:val="182433"/>
          <w:sz w:val="22"/>
        </w:rPr>
        <w:t xml:space="preserve">Show the critical finding: required </w:t>
      </w:r>
      <w:r>
        <w:rPr>
          <w:rFonts w:ascii="Consolas" w:hAnsi="Consolas"/>
          <w:color w:val="1F4D78"/>
          <w:sz w:val="21"/>
          <w:shd w:fill="EEF2F6"/>
        </w:rPr>
        <w:t>phone</w:t>
      </w:r>
      <w:r>
        <w:rPr>
          <w:rFonts w:ascii="Calibri" w:hAnsi="Calibri"/>
          <w:color w:val="182433"/>
          <w:sz w:val="22"/>
        </w:rPr>
        <w:t xml:space="preserve"> column against three existing users.</w:t>
      </w:r>
    </w:p>
    <w:p>
      <w:pPr>
        <w:spacing w:before="0" w:after="160" w:line="280" w:lineRule="auto"/>
        <w:numPr>
          <w:ilvl w:val="0"/>
          <w:numId w:val="17"/>
        </w:numPr>
      </w:pPr>
      <w:r>
        <w:rPr>
          <w:rFonts w:ascii="Calibri" w:hAnsi="Calibri"/>
          <w:color w:val="182433"/>
          <w:sz w:val="22"/>
        </w:rPr>
        <w:t>Show normal migration failure and the old registration-query failure.</w:t>
      </w:r>
    </w:p>
    <w:p>
      <w:pPr>
        <w:spacing w:before="0" w:after="160" w:line="280" w:lineRule="auto"/>
        <w:numPr>
          <w:ilvl w:val="0"/>
          <w:numId w:val="17"/>
        </w:numPr>
      </w:pPr>
      <w:r>
        <w:rPr>
          <w:rFonts w:ascii="Calibri" w:hAnsi="Calibri"/>
          <w:color w:val="182433"/>
          <w:sz w:val="22"/>
        </w:rPr>
        <w:t>Open the failure lab and show the statement-boundary recovery matrix.</w:t>
      </w:r>
    </w:p>
    <w:p>
      <w:pPr>
        <w:spacing w:before="0" w:after="160" w:line="280" w:lineRule="auto"/>
        <w:numPr>
          <w:ilvl w:val="0"/>
          <w:numId w:val="17"/>
        </w:numPr>
      </w:pPr>
      <w:r>
        <w:rPr>
          <w:rFonts w:ascii="Calibri" w:hAnsi="Calibri"/>
          <w:color w:val="182433"/>
          <w:sz w:val="22"/>
        </w:rPr>
        <w:t>Request a safer plan and emphasize that it is initially unverified.</w:t>
      </w:r>
    </w:p>
    <w:p>
      <w:pPr>
        <w:spacing w:before="0" w:after="160" w:line="280" w:lineRule="auto"/>
        <w:numPr>
          <w:ilvl w:val="0"/>
          <w:numId w:val="17"/>
        </w:numPr>
      </w:pPr>
      <w:r>
        <w:rPr>
          <w:rFonts w:ascii="Calibri" w:hAnsi="Calibri"/>
          <w:color w:val="182433"/>
          <w:sz w:val="22"/>
        </w:rPr>
        <w:t>Show the expand, backfill, verify, and contract phases.</w:t>
      </w:r>
    </w:p>
    <w:p>
      <w:pPr>
        <w:spacing w:before="0" w:after="160" w:line="280" w:lineRule="auto"/>
        <w:numPr>
          <w:ilvl w:val="0"/>
          <w:numId w:val="17"/>
        </w:numPr>
      </w:pPr>
      <w:r>
        <w:rPr>
          <w:rFonts w:ascii="Calibri" w:hAnsi="Calibri"/>
          <w:color w:val="182433"/>
          <w:sz w:val="22"/>
        </w:rPr>
        <w:t>Verify the plan in a clean PostgreSQL sandbox.</w:t>
      </w:r>
    </w:p>
    <w:p>
      <w:pPr>
        <w:spacing w:before="0" w:after="160" w:line="280" w:lineRule="auto"/>
        <w:numPr>
          <w:ilvl w:val="0"/>
          <w:numId w:val="17"/>
        </w:numPr>
      </w:pPr>
      <w:r>
        <w:rPr>
          <w:rFonts w:ascii="Calibri" w:hAnsi="Calibri"/>
          <w:color w:val="182433"/>
          <w:sz w:val="22"/>
        </w:rPr>
        <w:t>Open the final report and read the evidence dimensions.</w:t>
      </w:r>
    </w:p>
    <w:p>
      <w:pPr>
        <w:spacing w:before="0" w:after="160" w:line="280" w:lineRule="auto"/>
        <w:numPr>
          <w:ilvl w:val="0"/>
          <w:numId w:val="17"/>
        </w:numPr>
      </w:pPr>
      <w:r>
        <w:rPr>
          <w:rFonts w:ascii="Calibri" w:hAnsi="Calibri"/>
          <w:color w:val="182433"/>
          <w:sz w:val="22"/>
        </w:rPr>
        <w:t>Close with: “AI proposed the plan; deterministic PostgreSQL execution earned the verdict.”</w:t>
      </w:r>
    </w:p>
    <w:p>
      <w:pPr>
        <w:pStyle w:val="Heading1"/>
      </w:pPr>
      <w:r>
        <w:rPr>
          <w:rFonts w:ascii="Calibri" w:hAnsi="Calibri"/>
          <w:color w:val="2E74B5"/>
          <w:sz w:val="32"/>
        </w:rPr>
        <w:t>20. Roadmap</w:t>
      </w:r>
    </w:p>
    <w:p>
      <w:pPr>
        <w:pStyle w:val="Heading2"/>
      </w:pPr>
      <w:r>
        <w:rPr>
          <w:rFonts w:ascii="Calibri" w:hAnsi="Calibri"/>
          <w:color w:val="2E74B5"/>
          <w:sz w:val="26"/>
        </w:rPr>
        <w:t>Phase 1: Authenticated developer workspace</w:t>
      </w:r>
    </w:p>
    <w:p>
      <w:pPr>
        <w:spacing w:before="0" w:after="160" w:line="280" w:lineRule="auto"/>
        <w:numPr>
          <w:ilvl w:val="0"/>
          <w:numId w:val="10"/>
        </w:numPr>
      </w:pPr>
      <w:r>
        <w:t>Configure production Clerk credentials and enable the implemented owner-isolation path.</w:t>
      </w:r>
    </w:p>
    <w:p>
      <w:pPr>
        <w:spacing w:before="0" w:after="160" w:line="280" w:lineRule="auto"/>
        <w:numPr>
          <w:ilvl w:val="0"/>
          <w:numId w:val="10"/>
        </w:numPr>
      </w:pPr>
      <w:r>
        <w:t>Add account-facing long-term history and team workspace views.</w:t>
      </w:r>
    </w:p>
    <w:p>
      <w:pPr>
        <w:spacing w:before="0" w:after="160" w:line="280" w:lineRule="auto"/>
        <w:numPr>
          <w:ilvl w:val="0"/>
          <w:numId w:val="10"/>
        </w:numPr>
      </w:pPr>
      <w:r>
        <w:rPr>
          <w:rFonts w:ascii="Calibri" w:hAnsi="Calibri"/>
          <w:color w:val="182433"/>
          <w:sz w:val="22"/>
        </w:rPr>
        <w:t>Add configurable deletion and retention.</w:t>
      </w:r>
    </w:p>
    <w:p>
      <w:pPr>
        <w:spacing w:before="0" w:after="160" w:line="280" w:lineRule="auto"/>
        <w:numPr>
          <w:ilvl w:val="0"/>
          <w:numId w:val="10"/>
        </w:numPr>
      </w:pPr>
      <w:r>
        <w:rPr>
          <w:rFonts w:ascii="Calibri" w:hAnsi="Calibri"/>
          <w:color w:val="182433"/>
          <w:sz w:val="22"/>
        </w:rPr>
        <w:t>Add CSV fixtures with explicit table/column mapping.</w:t>
      </w:r>
    </w:p>
    <w:p>
      <w:pPr>
        <w:spacing w:before="0" w:after="160" w:line="280" w:lineRule="auto"/>
        <w:numPr>
          <w:ilvl w:val="0"/>
          <w:numId w:val="10"/>
        </w:numPr>
      </w:pPr>
      <w:r>
        <w:rPr>
          <w:rFonts w:ascii="Calibri" w:hAnsi="Calibri"/>
          <w:color w:val="182433"/>
          <w:sz w:val="22"/>
        </w:rPr>
        <w:t>Add asynchronous analysis workers and progress polling/streaming.</w:t>
      </w:r>
    </w:p>
    <w:p>
      <w:pPr>
        <w:spacing w:before="0" w:after="160" w:line="280" w:lineRule="auto"/>
        <w:numPr>
          <w:ilvl w:val="0"/>
          <w:numId w:val="10"/>
        </w:numPr>
      </w:pPr>
      <w:r>
        <w:rPr>
          <w:rFonts w:ascii="Calibri" w:hAnsi="Calibri"/>
          <w:color w:val="182433"/>
          <w:sz w:val="22"/>
        </w:rPr>
        <w:t>Add report export and rerun support.</w:t>
      </w:r>
    </w:p>
    <w:p>
      <w:pPr>
        <w:spacing w:before="0" w:after="160" w:line="280" w:lineRule="auto"/>
        <w:numPr>
          <w:ilvl w:val="0"/>
          <w:numId w:val="10"/>
        </w:numPr>
      </w:pPr>
      <w:r>
        <w:rPr>
          <w:rFonts w:ascii="Calibri" w:hAnsi="Calibri"/>
          <w:color w:val="182433"/>
          <w:sz w:val="22"/>
        </w:rPr>
        <w:t>Harden sandbox quotas and failure cleanup.</w:t>
      </w:r>
    </w:p>
    <w:p>
      <w:pPr>
        <w:pStyle w:val="Heading2"/>
      </w:pPr>
      <w:r>
        <w:rPr>
          <w:rFonts w:ascii="Calibri" w:hAnsi="Calibri"/>
          <w:color w:val="2E74B5"/>
          <w:sz w:val="26"/>
        </w:rPr>
        <w:t>Phase 2: Pull-request and team workflow</w:t>
      </w:r>
    </w:p>
    <w:p>
      <w:pPr>
        <w:spacing w:before="0" w:after="160" w:line="280" w:lineRule="auto"/>
        <w:numPr>
          <w:ilvl w:val="0"/>
          <w:numId w:val="10"/>
        </w:numPr>
      </w:pPr>
      <w:r>
        <w:rPr>
          <w:rFonts w:ascii="Calibri" w:hAnsi="Calibri"/>
          <w:color w:val="182433"/>
          <w:sz w:val="22"/>
        </w:rPr>
        <w:t>GitHub App and GitHub Action integration.</w:t>
      </w:r>
    </w:p>
    <w:p>
      <w:pPr>
        <w:spacing w:before="0" w:after="160" w:line="280" w:lineRule="auto"/>
        <w:numPr>
          <w:ilvl w:val="0"/>
          <w:numId w:val="10"/>
        </w:numPr>
      </w:pPr>
      <w:r>
        <w:rPr>
          <w:rFonts w:ascii="Calibri" w:hAnsi="Calibri"/>
          <w:color w:val="182433"/>
          <w:sz w:val="22"/>
        </w:rPr>
        <w:t>Pull-request annotations and configurable blocking thresholds.</w:t>
      </w:r>
    </w:p>
    <w:p>
      <w:pPr>
        <w:spacing w:before="0" w:after="160" w:line="280" w:lineRule="auto"/>
        <w:numPr>
          <w:ilvl w:val="0"/>
          <w:numId w:val="10"/>
        </w:numPr>
      </w:pPr>
      <w:r>
        <w:rPr>
          <w:rFonts w:ascii="Calibri" w:hAnsi="Calibri"/>
          <w:color w:val="182433"/>
          <w:sz w:val="22"/>
        </w:rPr>
        <w:t>Team workspaces, roles, policy sets, and audit history.</w:t>
      </w:r>
    </w:p>
    <w:p>
      <w:pPr>
        <w:spacing w:before="0" w:after="160" w:line="280" w:lineRule="auto"/>
        <w:numPr>
          <w:ilvl w:val="0"/>
          <w:numId w:val="10"/>
        </w:numPr>
      </w:pPr>
      <w:r>
        <w:rPr>
          <w:rFonts w:ascii="Calibri" w:hAnsi="Calibri"/>
          <w:color w:val="182433"/>
          <w:sz w:val="22"/>
        </w:rPr>
        <w:t>Encrypted artifact storage with opt-in retention.</w:t>
      </w:r>
    </w:p>
    <w:p>
      <w:pPr>
        <w:spacing w:before="0" w:after="160" w:line="280" w:lineRule="auto"/>
        <w:numPr>
          <w:ilvl w:val="0"/>
          <w:numId w:val="10"/>
        </w:numPr>
      </w:pPr>
      <w:r>
        <w:rPr>
          <w:rFonts w:ascii="Calibri" w:hAnsi="Calibri"/>
          <w:color w:val="182433"/>
          <w:sz w:val="22"/>
        </w:rPr>
        <w:t>Baseline caching keyed by immutable migration-history hashes.</w:t>
      </w:r>
    </w:p>
    <w:p>
      <w:pPr>
        <w:spacing w:before="0" w:after="160" w:line="280" w:lineRule="auto"/>
        <w:numPr>
          <w:ilvl w:val="0"/>
          <w:numId w:val="10"/>
        </w:numPr>
      </w:pPr>
      <w:r>
        <w:rPr>
          <w:rFonts w:ascii="Calibri" w:hAnsi="Calibri"/>
          <w:color w:val="182433"/>
          <w:sz w:val="22"/>
        </w:rPr>
        <w:t>Policy waivers with owner, reason, expiry, and evidence.</w:t>
      </w:r>
    </w:p>
    <w:p>
      <w:pPr>
        <w:pStyle w:val="Heading2"/>
      </w:pPr>
      <w:r>
        <w:rPr>
          <w:rFonts w:ascii="Calibri" w:hAnsi="Calibri"/>
          <w:color w:val="2E74B5"/>
          <w:sz w:val="26"/>
        </w:rPr>
        <w:t>Phase 3: Production-grade simulation platform</w:t>
      </w:r>
    </w:p>
    <w:p>
      <w:pPr>
        <w:spacing w:before="0" w:after="160" w:line="280" w:lineRule="auto"/>
        <w:numPr>
          <w:ilvl w:val="0"/>
          <w:numId w:val="10"/>
        </w:numPr>
      </w:pPr>
      <w:r>
        <w:rPr>
          <w:rFonts w:ascii="Calibri" w:hAnsi="Calibri"/>
          <w:color w:val="182433"/>
          <w:sz w:val="22"/>
        </w:rPr>
        <w:t>Dedicated isolated job/container per analysis with network egress denied.</w:t>
      </w:r>
    </w:p>
    <w:p>
      <w:pPr>
        <w:spacing w:before="0" w:after="160" w:line="280" w:lineRule="auto"/>
        <w:numPr>
          <w:ilvl w:val="0"/>
          <w:numId w:val="10"/>
        </w:numPr>
      </w:pPr>
      <w:r>
        <w:rPr>
          <w:rFonts w:ascii="Calibri" w:hAnsi="Calibri"/>
          <w:color w:val="182433"/>
          <w:sz w:val="22"/>
        </w:rPr>
        <w:t>PostgreSQL version matrix and extension allowlists.</w:t>
      </w:r>
    </w:p>
    <w:p>
      <w:pPr>
        <w:spacing w:before="0" w:after="160" w:line="280" w:lineRule="auto"/>
        <w:numPr>
          <w:ilvl w:val="0"/>
          <w:numId w:val="10"/>
        </w:numPr>
      </w:pPr>
      <w:r>
        <w:rPr>
          <w:rFonts w:ascii="Calibri" w:hAnsi="Calibri"/>
          <w:color w:val="182433"/>
          <w:sz w:val="22"/>
        </w:rPr>
        <w:t>Optional sanitized production-clone integrations with explicit consent.</w:t>
      </w:r>
    </w:p>
    <w:p>
      <w:pPr>
        <w:spacing w:before="0" w:after="160" w:line="280" w:lineRule="auto"/>
        <w:numPr>
          <w:ilvl w:val="0"/>
          <w:numId w:val="10"/>
        </w:numPr>
      </w:pPr>
      <w:r>
        <w:rPr>
          <w:rFonts w:ascii="Calibri" w:hAnsi="Calibri"/>
          <w:color w:val="182433"/>
          <w:sz w:val="22"/>
        </w:rPr>
        <w:t>Scale-aware lock and rewrite estimation using catalog metadata.</w:t>
      </w:r>
    </w:p>
    <w:p>
      <w:pPr>
        <w:spacing w:before="0" w:after="160" w:line="280" w:lineRule="auto"/>
        <w:numPr>
          <w:ilvl w:val="0"/>
          <w:numId w:val="10"/>
        </w:numPr>
      </w:pPr>
      <w:r>
        <w:rPr>
          <w:rFonts w:ascii="Calibri" w:hAnsi="Calibri"/>
          <w:color w:val="182433"/>
          <w:sz w:val="22"/>
        </w:rPr>
        <w:t>MySQL/MariaDB, SQL Server, CockroachDB, and SQLite adapters.</w:t>
      </w:r>
    </w:p>
    <w:p>
      <w:pPr>
        <w:spacing w:before="0" w:after="160" w:line="280" w:lineRule="auto"/>
        <w:numPr>
          <w:ilvl w:val="0"/>
          <w:numId w:val="10"/>
        </w:numPr>
      </w:pPr>
      <w:r>
        <w:rPr>
          <w:rFonts w:ascii="Calibri" w:hAnsi="Calibri"/>
          <w:color w:val="182433"/>
          <w:sz w:val="22"/>
        </w:rPr>
        <w:t>Enterprise SSO, private networking, regional data residency, and compliance controls.</w:t>
      </w:r>
    </w:p>
    <w:p>
      <w:pPr>
        <w:pStyle w:val="Heading1"/>
      </w:pPr>
      <w:r>
        <w:rPr>
          <w:rFonts w:ascii="Calibri" w:hAnsi="Calibri"/>
          <w:color w:val="2E74B5"/>
          <w:sz w:val="32"/>
        </w:rPr>
        <w:t>21. Risks and mitigations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652"/>
        <w:gridCol w:w="2891"/>
        <w:gridCol w:w="3817"/>
      </w:tblGrid>
      <w:tr>
        <w:trPr>
          <w:tblHeader w:val="true"/>
        </w:trPr>
        <w:tc>
          <w:tcPr>
            <w:tcW w:type="dxa" w:w="2652"/>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Risk</w:t>
            </w:r>
          </w:p>
        </w:tc>
        <w:tc>
          <w:tcPr>
            <w:tcW w:type="dxa" w:w="2891"/>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Impact</w:t>
            </w:r>
          </w:p>
        </w:tc>
        <w:tc>
          <w:tcPr>
            <w:tcW w:type="dxa" w:w="3817"/>
            <w:vAlign w:val="center"/>
            <w:tcMar>
              <w:top w:w="80" w:type="dxa"/>
              <w:start w:w="120" w:type="dxa"/>
              <w:bottom w:w="80" w:type="dxa"/>
              <w:end w:w="120" w:type="dxa"/>
            </w:tcMar>
            <w:shd w:fill="F2F4F7"/>
          </w:tcPr>
          <w:p>
            <w:pPr>
              <w:spacing w:before="0" w:after="40" w:line="252" w:lineRule="auto"/>
            </w:pPr>
            <w:r>
              <w:rPr>
                <w:rFonts w:ascii="Calibri" w:hAnsi="Calibri"/>
                <w:b/>
                <w:color w:val="1F4D78"/>
                <w:sz w:val="18"/>
              </w:rPr>
              <w:t>Mitigation</w:t>
            </w:r>
          </w:p>
        </w:tc>
      </w:tr>
      <w:tr>
        <w:tc>
          <w:tcPr>
            <w:tcW w:type="dxa" w:w="2652"/>
            <w:vAlign w:val="center"/>
            <w:tcMar>
              <w:top w:w="80" w:type="dxa"/>
              <w:start w:w="120" w:type="dxa"/>
              <w:bottom w:w="80" w:type="dxa"/>
              <w:end w:w="120" w:type="dxa"/>
            </w:tcMar>
          </w:tcPr>
          <w:p>
            <w:pPr>
              <w:spacing w:before="0" w:after="40" w:line="252" w:lineRule="auto"/>
            </w:pPr>
            <w:r>
              <w:rPr>
                <w:rFonts w:ascii="Calibri" w:hAnsi="Calibri"/>
                <w:color w:val="182433"/>
                <w:sz w:val="18"/>
              </w:rPr>
              <w:t>SQL parser misses PostgreSQL syntax</w:t>
            </w:r>
          </w:p>
        </w:tc>
        <w:tc>
          <w:tcPr>
            <w:tcW w:type="dxa" w:w="2891"/>
            <w:vAlign w:val="center"/>
            <w:tcMar>
              <w:top w:w="80" w:type="dxa"/>
              <w:start w:w="120" w:type="dxa"/>
              <w:bottom w:w="80" w:type="dxa"/>
              <w:end w:w="120" w:type="dxa"/>
            </w:tcMar>
          </w:tcPr>
          <w:p>
            <w:pPr>
              <w:spacing w:before="0" w:after="40" w:line="252" w:lineRule="auto"/>
            </w:pPr>
            <w:r>
              <w:rPr>
                <w:rFonts w:ascii="Calibri" w:hAnsi="Calibri"/>
                <w:color w:val="182433"/>
                <w:sz w:val="18"/>
              </w:rPr>
              <w:t>False confidence or unsupported execution</w:t>
            </w:r>
          </w:p>
        </w:tc>
        <w:tc>
          <w:tcPr>
            <w:tcW w:type="dxa" w:w="3817"/>
            <w:vAlign w:val="center"/>
            <w:tcMar>
              <w:top w:w="80" w:type="dxa"/>
              <w:start w:w="120" w:type="dxa"/>
              <w:bottom w:w="80" w:type="dxa"/>
              <w:end w:w="120" w:type="dxa"/>
            </w:tcMar>
          </w:tcPr>
          <w:p>
            <w:pPr>
              <w:spacing w:before="0" w:after="40" w:line="252" w:lineRule="auto"/>
            </w:pPr>
            <w:r>
              <w:rPr>
                <w:rFonts w:ascii="Calibri" w:hAnsi="Calibri"/>
                <w:color w:val="182433"/>
                <w:sz w:val="18"/>
              </w:rPr>
              <w:t>Fail closed; verified mode requires every statement to parse and pass policy.</w:t>
            </w:r>
          </w:p>
        </w:tc>
      </w:tr>
      <w:tr>
        <w:tc>
          <w:tcPr>
            <w:tcW w:type="dxa" w:w="2652"/>
            <w:vAlign w:val="center"/>
            <w:tcMar>
              <w:top w:w="80" w:type="dxa"/>
              <w:start w:w="120" w:type="dxa"/>
              <w:bottom w:w="80" w:type="dxa"/>
              <w:end w:w="120" w:type="dxa"/>
            </w:tcMar>
          </w:tcPr>
          <w:p>
            <w:pPr>
              <w:spacing w:before="0" w:after="40" w:line="252" w:lineRule="auto"/>
            </w:pPr>
            <w:r>
              <w:rPr>
                <w:rFonts w:ascii="Calibri" w:hAnsi="Calibri"/>
                <w:color w:val="182433"/>
                <w:sz w:val="18"/>
              </w:rPr>
              <w:t>Sandbox escape or resource abuse</w:t>
            </w:r>
          </w:p>
        </w:tc>
        <w:tc>
          <w:tcPr>
            <w:tcW w:type="dxa" w:w="2891"/>
            <w:vAlign w:val="center"/>
            <w:tcMar>
              <w:top w:w="80" w:type="dxa"/>
              <w:start w:w="120" w:type="dxa"/>
              <w:bottom w:w="80" w:type="dxa"/>
              <w:end w:w="120" w:type="dxa"/>
            </w:tcMar>
          </w:tcPr>
          <w:p>
            <w:pPr>
              <w:spacing w:before="0" w:after="40" w:line="252" w:lineRule="auto"/>
            </w:pPr>
            <w:r>
              <w:rPr>
                <w:rFonts w:ascii="Calibri" w:hAnsi="Calibri"/>
                <w:color w:val="182433"/>
                <w:sz w:val="18"/>
              </w:rPr>
              <w:t>Service compromise or denial of service</w:t>
            </w:r>
          </w:p>
        </w:tc>
        <w:tc>
          <w:tcPr>
            <w:tcW w:type="dxa" w:w="3817"/>
            <w:vAlign w:val="center"/>
            <w:tcMar>
              <w:top w:w="80" w:type="dxa"/>
              <w:start w:w="120" w:type="dxa"/>
              <w:bottom w:w="80" w:type="dxa"/>
              <w:end w:w="120" w:type="dxa"/>
            </w:tcMar>
          </w:tcPr>
          <w:p>
            <w:pPr>
              <w:spacing w:before="0" w:after="40" w:line="252" w:lineRule="auto"/>
            </w:pPr>
            <w:r>
              <w:rPr>
                <w:rFonts w:ascii="Calibri" w:hAnsi="Calibri"/>
                <w:color w:val="182433"/>
                <w:sz w:val="18"/>
              </w:rPr>
              <w:t>Synthetic controlled MVP only; unprivileged role/process, no network listener, quotas, timeouts, production worker isolation roadmap.</w:t>
            </w:r>
          </w:p>
        </w:tc>
      </w:tr>
      <w:tr>
        <w:tc>
          <w:tcPr>
            <w:tcW w:type="dxa" w:w="2652"/>
            <w:vAlign w:val="center"/>
            <w:tcMar>
              <w:top w:w="80" w:type="dxa"/>
              <w:start w:w="120" w:type="dxa"/>
              <w:bottom w:w="80" w:type="dxa"/>
              <w:end w:w="120" w:type="dxa"/>
            </w:tcMar>
          </w:tcPr>
          <w:p>
            <w:pPr>
              <w:spacing w:before="0" w:after="40" w:line="252" w:lineRule="auto"/>
            </w:pPr>
            <w:r>
              <w:rPr>
                <w:rFonts w:ascii="Calibri" w:hAnsi="Calibri"/>
                <w:color w:val="182433"/>
                <w:sz w:val="18"/>
              </w:rPr>
              <w:t>Fixture data is unrepresentative</w:t>
            </w:r>
          </w:p>
        </w:tc>
        <w:tc>
          <w:tcPr>
            <w:tcW w:type="dxa" w:w="2891"/>
            <w:vAlign w:val="center"/>
            <w:tcMar>
              <w:top w:w="80" w:type="dxa"/>
              <w:start w:w="120" w:type="dxa"/>
              <w:bottom w:w="80" w:type="dxa"/>
              <w:end w:w="120" w:type="dxa"/>
            </w:tcMar>
          </w:tcPr>
          <w:p>
            <w:pPr>
              <w:spacing w:before="0" w:after="40" w:line="252" w:lineRule="auto"/>
            </w:pPr>
            <w:r>
              <w:rPr>
                <w:rFonts w:ascii="Calibri" w:hAnsi="Calibri"/>
                <w:color w:val="182433"/>
                <w:sz w:val="18"/>
              </w:rPr>
              <w:t>Constraints pass while production fails</w:t>
            </w:r>
          </w:p>
        </w:tc>
        <w:tc>
          <w:tcPr>
            <w:tcW w:type="dxa" w:w="3817"/>
            <w:vAlign w:val="center"/>
            <w:tcMar>
              <w:top w:w="80" w:type="dxa"/>
              <w:start w:w="120" w:type="dxa"/>
              <w:bottom w:w="80" w:type="dxa"/>
              <w:end w:w="120" w:type="dxa"/>
            </w:tcMar>
          </w:tcPr>
          <w:p>
            <w:pPr>
              <w:spacing w:before="0" w:after="40" w:line="252" w:lineRule="auto"/>
            </w:pPr>
            <w:r>
              <w:rPr>
                <w:rFonts w:ascii="Calibri" w:hAnsi="Calibri"/>
                <w:color w:val="182433"/>
                <w:sz w:val="18"/>
              </w:rPr>
              <w:t>Show evidence bounds prominently; require user-owned synthetic production-shaped fixtures.</w:t>
            </w:r>
          </w:p>
        </w:tc>
      </w:tr>
      <w:tr>
        <w:tc>
          <w:tcPr>
            <w:tcW w:type="dxa" w:w="2652"/>
            <w:vAlign w:val="center"/>
            <w:tcMar>
              <w:top w:w="80" w:type="dxa"/>
              <w:start w:w="120" w:type="dxa"/>
              <w:bottom w:w="80" w:type="dxa"/>
              <w:end w:w="120" w:type="dxa"/>
            </w:tcMar>
          </w:tcPr>
          <w:p>
            <w:pPr>
              <w:spacing w:before="0" w:after="40" w:line="252" w:lineRule="auto"/>
            </w:pPr>
            <w:r>
              <w:rPr>
                <w:rFonts w:ascii="Calibri" w:hAnsi="Calibri"/>
                <w:color w:val="182433"/>
                <w:sz w:val="18"/>
              </w:rPr>
              <w:t>Legacy contract is incomplete</w:t>
            </w:r>
          </w:p>
        </w:tc>
        <w:tc>
          <w:tcPr>
            <w:tcW w:type="dxa" w:w="2891"/>
            <w:vAlign w:val="center"/>
            <w:tcMar>
              <w:top w:w="80" w:type="dxa"/>
              <w:start w:w="120" w:type="dxa"/>
              <w:bottom w:w="80" w:type="dxa"/>
              <w:end w:w="120" w:type="dxa"/>
            </w:tcMar>
          </w:tcPr>
          <w:p>
            <w:pPr>
              <w:spacing w:before="0" w:after="40" w:line="252" w:lineRule="auto"/>
            </w:pPr>
            <w:r>
              <w:rPr>
                <w:rFonts w:ascii="Calibri" w:hAnsi="Calibri"/>
                <w:color w:val="182433"/>
                <w:sz w:val="18"/>
              </w:rPr>
              <w:t>Rolling-deploy breakage not detected</w:t>
            </w:r>
          </w:p>
        </w:tc>
        <w:tc>
          <w:tcPr>
            <w:tcW w:type="dxa" w:w="3817"/>
            <w:vAlign w:val="center"/>
            <w:tcMar>
              <w:top w:w="80" w:type="dxa"/>
              <w:start w:w="120" w:type="dxa"/>
              <w:bottom w:w="80" w:type="dxa"/>
              <w:end w:w="120" w:type="dxa"/>
            </w:tcMar>
          </w:tcPr>
          <w:p>
            <w:pPr>
              <w:spacing w:before="0" w:after="40" w:line="252" w:lineRule="auto"/>
            </w:pPr>
            <w:r>
              <w:rPr>
                <w:rFonts w:ascii="Calibri" w:hAnsi="Calibri"/>
                <w:color w:val="182433"/>
                <w:sz w:val="18"/>
              </w:rPr>
              <w:t xml:space="preserve">Report query count and </w:t>
            </w:r>
            <w:r>
              <w:rPr>
                <w:rFonts w:ascii="Consolas" w:hAnsi="Consolas"/>
                <w:color w:val="1F4D78"/>
                <w:sz w:val="17"/>
                <w:shd w:fill="EEF2F6"/>
              </w:rPr>
              <w:t>NOT_TESTED</w:t>
            </w:r>
            <w:r>
              <w:rPr>
                <w:rFonts w:ascii="Calibri" w:hAnsi="Calibri"/>
                <w:color w:val="182433"/>
                <w:sz w:val="18"/>
              </w:rPr>
              <w:t xml:space="preserve"> gaps; never infer complete application compatibility.</w:t>
            </w:r>
          </w:p>
        </w:tc>
      </w:tr>
      <w:tr>
        <w:tc>
          <w:tcPr>
            <w:tcW w:type="dxa" w:w="2652"/>
            <w:vAlign w:val="center"/>
            <w:tcMar>
              <w:top w:w="80" w:type="dxa"/>
              <w:start w:w="120" w:type="dxa"/>
              <w:bottom w:w="80" w:type="dxa"/>
              <w:end w:w="120" w:type="dxa"/>
            </w:tcMar>
          </w:tcPr>
          <w:p>
            <w:pPr>
              <w:spacing w:before="0" w:after="40" w:line="252" w:lineRule="auto"/>
            </w:pPr>
            <w:r>
              <w:rPr>
                <w:rFonts w:ascii="Calibri" w:hAnsi="Calibri"/>
                <w:color w:val="182433"/>
                <w:sz w:val="18"/>
              </w:rPr>
              <w:t>AI generates plausible but wrong SQL</w:t>
            </w:r>
          </w:p>
        </w:tc>
        <w:tc>
          <w:tcPr>
            <w:tcW w:type="dxa" w:w="2891"/>
            <w:vAlign w:val="center"/>
            <w:tcMar>
              <w:top w:w="80" w:type="dxa"/>
              <w:start w:w="120" w:type="dxa"/>
              <w:bottom w:w="80" w:type="dxa"/>
              <w:end w:w="120" w:type="dxa"/>
            </w:tcMar>
          </w:tcPr>
          <w:p>
            <w:pPr>
              <w:spacing w:before="0" w:after="40" w:line="252" w:lineRule="auto"/>
            </w:pPr>
            <w:r>
              <w:rPr>
                <w:rFonts w:ascii="Calibri" w:hAnsi="Calibri"/>
                <w:color w:val="182433"/>
                <w:sz w:val="18"/>
              </w:rPr>
              <w:t>Unsafe recommendation</w:t>
            </w:r>
          </w:p>
        </w:tc>
        <w:tc>
          <w:tcPr>
            <w:tcW w:type="dxa" w:w="3817"/>
            <w:vAlign w:val="center"/>
            <w:tcMar>
              <w:top w:w="80" w:type="dxa"/>
              <w:start w:w="120" w:type="dxa"/>
              <w:bottom w:w="80" w:type="dxa"/>
              <w:end w:w="120" w:type="dxa"/>
            </w:tcMar>
          </w:tcPr>
          <w:p>
            <w:pPr>
              <w:spacing w:before="0" w:after="40" w:line="252" w:lineRule="auto"/>
            </w:pPr>
            <w:r>
              <w:rPr>
                <w:rFonts w:ascii="Calibri" w:hAnsi="Calibri"/>
                <w:color w:val="182433"/>
                <w:sz w:val="18"/>
              </w:rPr>
              <w:t>Strict Pydantic schema, SQL policy, fresh deterministic simulation, no automatic deployment.</w:t>
            </w:r>
          </w:p>
        </w:tc>
      </w:tr>
      <w:tr>
        <w:tc>
          <w:tcPr>
            <w:tcW w:type="dxa" w:w="2652"/>
            <w:vAlign w:val="center"/>
            <w:tcMar>
              <w:top w:w="80" w:type="dxa"/>
              <w:start w:w="120" w:type="dxa"/>
              <w:bottom w:w="80" w:type="dxa"/>
              <w:end w:w="120" w:type="dxa"/>
            </w:tcMar>
          </w:tcPr>
          <w:p>
            <w:pPr>
              <w:spacing w:before="0" w:after="40" w:line="252" w:lineRule="auto"/>
            </w:pPr>
            <w:r>
              <w:rPr>
                <w:rFonts w:ascii="Calibri" w:hAnsi="Calibri"/>
                <w:color w:val="182433"/>
                <w:sz w:val="18"/>
              </w:rPr>
              <w:t>Small data hides lock behavior</w:t>
            </w:r>
          </w:p>
        </w:tc>
        <w:tc>
          <w:tcPr>
            <w:tcW w:type="dxa" w:w="2891"/>
            <w:vAlign w:val="center"/>
            <w:tcMar>
              <w:top w:w="80" w:type="dxa"/>
              <w:start w:w="120" w:type="dxa"/>
              <w:bottom w:w="80" w:type="dxa"/>
              <w:end w:w="120" w:type="dxa"/>
            </w:tcMar>
          </w:tcPr>
          <w:p>
            <w:pPr>
              <w:spacing w:before="0" w:after="40" w:line="252" w:lineRule="auto"/>
            </w:pPr>
            <w:r>
              <w:rPr>
                <w:rFonts w:ascii="Calibri" w:hAnsi="Calibri"/>
                <w:color w:val="182433"/>
                <w:sz w:val="18"/>
              </w:rPr>
              <w:t>Misleading operational claim</w:t>
            </w:r>
          </w:p>
        </w:tc>
        <w:tc>
          <w:tcPr>
            <w:tcW w:type="dxa" w:w="3817"/>
            <w:vAlign w:val="center"/>
            <w:tcMar>
              <w:top w:w="80" w:type="dxa"/>
              <w:start w:w="120" w:type="dxa"/>
              <w:bottom w:w="80" w:type="dxa"/>
              <w:end w:w="120" w:type="dxa"/>
            </w:tcMar>
          </w:tcPr>
          <w:p>
            <w:pPr>
              <w:spacing w:before="0" w:after="40" w:line="252" w:lineRule="auto"/>
            </w:pPr>
            <w:r>
              <w:rPr>
                <w:rFonts w:ascii="Calibri" w:hAnsi="Calibri"/>
                <w:color w:val="182433"/>
                <w:sz w:val="18"/>
              </w:rPr>
              <w:t>Report lock risk as heuristic only; do not report measured production duration.</w:t>
            </w:r>
          </w:p>
        </w:tc>
      </w:tr>
      <w:tr>
        <w:tc>
          <w:tcPr>
            <w:tcW w:type="dxa" w:w="2652"/>
            <w:vAlign w:val="center"/>
            <w:tcMar>
              <w:top w:w="80" w:type="dxa"/>
              <w:start w:w="120" w:type="dxa"/>
              <w:bottom w:w="80" w:type="dxa"/>
              <w:end w:w="120" w:type="dxa"/>
            </w:tcMar>
          </w:tcPr>
          <w:p>
            <w:pPr>
              <w:spacing w:before="0" w:after="40" w:line="252" w:lineRule="auto"/>
            </w:pPr>
            <w:r>
              <w:rPr>
                <w:rFonts w:ascii="Calibri" w:hAnsi="Calibri"/>
                <w:color w:val="182433"/>
                <w:sz w:val="18"/>
              </w:rPr>
              <w:t>Solo six-hour schedule overruns</w:t>
            </w:r>
          </w:p>
        </w:tc>
        <w:tc>
          <w:tcPr>
            <w:tcW w:type="dxa" w:w="2891"/>
            <w:vAlign w:val="center"/>
            <w:tcMar>
              <w:top w:w="80" w:type="dxa"/>
              <w:start w:w="120" w:type="dxa"/>
              <w:bottom w:w="80" w:type="dxa"/>
              <w:end w:w="120" w:type="dxa"/>
            </w:tcMar>
          </w:tcPr>
          <w:p>
            <w:pPr>
              <w:spacing w:before="0" w:after="40" w:line="252" w:lineRule="auto"/>
            </w:pPr>
            <w:r>
              <w:rPr>
                <w:rFonts w:ascii="Calibri" w:hAnsi="Calibri"/>
                <w:color w:val="182433"/>
                <w:sz w:val="18"/>
              </w:rPr>
              <w:t>Incomplete demo</w:t>
            </w:r>
          </w:p>
        </w:tc>
        <w:tc>
          <w:tcPr>
            <w:tcW w:type="dxa" w:w="3817"/>
            <w:vAlign w:val="center"/>
            <w:tcMar>
              <w:top w:w="80" w:type="dxa"/>
              <w:start w:w="120" w:type="dxa"/>
              <w:bottom w:w="80" w:type="dxa"/>
              <w:end w:w="120" w:type="dxa"/>
            </w:tcMar>
          </w:tcPr>
          <w:p>
            <w:pPr>
              <w:spacing w:before="0" w:after="40" w:line="252" w:lineRule="auto"/>
            </w:pPr>
            <w:r>
              <w:rPr>
                <w:rFonts w:ascii="Calibri" w:hAnsi="Calibri"/>
                <w:color w:val="182433"/>
                <w:sz w:val="18"/>
              </w:rPr>
              <w:t>Preserve built-in fixture and evidence pipeline; defer auth, history, CSV, streaming, and integrations.</w:t>
            </w:r>
          </w:p>
        </w:tc>
      </w:tr>
      <w:tr>
        <w:tc>
          <w:tcPr>
            <w:tcW w:type="dxa" w:w="2652"/>
            <w:vAlign w:val="center"/>
            <w:tcMar>
              <w:top w:w="80" w:type="dxa"/>
              <w:start w:w="120" w:type="dxa"/>
              <w:bottom w:w="80" w:type="dxa"/>
              <w:end w:w="120" w:type="dxa"/>
            </w:tcMar>
          </w:tcPr>
          <w:p>
            <w:r>
              <w:t>Release candidate is not yet promoted</w:t>
            </w:r>
          </w:p>
        </w:tc>
        <w:tc>
          <w:tcPr>
            <w:tcW w:type="dxa" w:w="2891"/>
            <w:vAlign w:val="center"/>
            <w:tcMar>
              <w:top w:w="80" w:type="dxa"/>
              <w:start w:w="120" w:type="dxa"/>
              <w:bottom w:w="80" w:type="dxa"/>
              <w:end w:w="120" w:type="dxa"/>
            </w:tcMar>
          </w:tcPr>
          <w:p>
            <w:r>
              <w:t>The live site remains on the earlier foundation revision</w:t>
            </w:r>
          </w:p>
        </w:tc>
        <w:tc>
          <w:tcPr>
            <w:tcW w:type="dxa" w:w="3817"/>
            <w:vAlign w:val="center"/>
            <w:tcMar>
              <w:top w:w="80" w:type="dxa"/>
              <w:start w:w="120" w:type="dxa"/>
              <w:bottom w:w="80" w:type="dxa"/>
              <w:end w:w="120" w:type="dxa"/>
            </w:tcMar>
          </w:tcPr>
          <w:p>
            <w:r>
              <w:t>Keep draft PR checks green; merge and deploy only after explicit approval and run the full smoke script.</w:t>
            </w:r>
          </w:p>
        </w:tc>
      </w:tr>
      <w:tr>
        <w:tc>
          <w:tcPr>
            <w:tcW w:type="dxa" w:w="2652"/>
            <w:vAlign w:val="center"/>
            <w:tcMar>
              <w:top w:w="80" w:type="dxa"/>
              <w:start w:w="120" w:type="dxa"/>
              <w:bottom w:w="80" w:type="dxa"/>
              <w:end w:w="120" w:type="dxa"/>
            </w:tcMar>
          </w:tcPr>
          <w:p>
            <w:r>
              <w:t>Clerk credentials are not configured</w:t>
            </w:r>
          </w:p>
        </w:tc>
        <w:tc>
          <w:tcPr>
            <w:tcW w:type="dxa" w:w="2891"/>
            <w:vAlign w:val="center"/>
            <w:tcMar>
              <w:top w:w="80" w:type="dxa"/>
              <w:start w:w="120" w:type="dxa"/>
              <w:bottom w:w="80" w:type="dxa"/>
              <w:end w:w="120" w:type="dxa"/>
            </w:tcMar>
          </w:tcPr>
          <w:p>
            <w:r>
              <w:t>Optional sign-in remains disabled</w:t>
            </w:r>
          </w:p>
        </w:tc>
        <w:tc>
          <w:tcPr>
            <w:tcW w:type="dxa" w:w="3817"/>
            <w:vAlign w:val="center"/>
            <w:tcMar>
              <w:top w:w="80" w:type="dxa"/>
              <w:start w:w="120" w:type="dxa"/>
              <w:bottom w:w="80" w:type="dxa"/>
              <w:end w:w="120" w:type="dxa"/>
            </w:tcMar>
          </w:tcPr>
          <w:p>
            <w:r>
              <w:t>Keep anonymous mode internally consistent; configure both services and verify session forwarding before requiring authentication.</w:t>
            </w:r>
          </w:p>
        </w:tc>
      </w:tr>
    </w:tbl>
    <w:p>
      <w:pPr>
        <w:spacing w:after="40"/>
      </w:pPr>
    </w:p>
    <w:p>
      <w:pPr>
        <w:pStyle w:val="Heading1"/>
      </w:pPr>
      <w:r>
        <w:rPr>
          <w:rFonts w:ascii="Calibri" w:hAnsi="Calibri"/>
          <w:color w:val="2E74B5"/>
          <w:sz w:val="32"/>
        </w:rPr>
        <w:t>22. Locked assumptions</w:t>
      </w:r>
    </w:p>
    <w:p>
      <w:pPr>
        <w:spacing w:before="0" w:after="160" w:line="280" w:lineRule="auto"/>
        <w:numPr>
          <w:ilvl w:val="0"/>
          <w:numId w:val="10"/>
        </w:numPr>
      </w:pPr>
      <w:r>
        <w:rPr>
          <w:rFonts w:ascii="Calibri" w:hAnsi="Calibri"/>
          <w:color w:val="182433"/>
          <w:sz w:val="22"/>
        </w:rPr>
        <w:t>Product name: RollbackReady.</w:t>
      </w:r>
    </w:p>
    <w:p>
      <w:pPr>
        <w:spacing w:before="0" w:after="160" w:line="280" w:lineRule="auto"/>
        <w:numPr>
          <w:ilvl w:val="0"/>
          <w:numId w:val="10"/>
        </w:numPr>
      </w:pPr>
      <w:r>
        <w:rPr>
          <w:rFonts w:ascii="Calibri" w:hAnsi="Calibri"/>
          <w:color w:val="182433"/>
          <w:sz w:val="22"/>
        </w:rPr>
        <w:t>Database engine: PostgreSQL only for the MVP, using PostgreSQL 18 in the existing project.</w:t>
      </w:r>
    </w:p>
    <w:p>
      <w:pPr>
        <w:spacing w:before="0" w:after="160" w:line="280" w:lineRule="auto"/>
        <w:numPr>
          <w:ilvl w:val="0"/>
          <w:numId w:val="10"/>
        </w:numPr>
      </w:pPr>
      <w:r>
        <w:rPr>
          <w:rFonts w:ascii="Calibri" w:hAnsi="Calibri"/>
          <w:color w:val="182433"/>
          <w:sz w:val="22"/>
        </w:rPr>
        <w:t>Primary experience: web upload and built-in demonstration.</w:t>
      </w:r>
    </w:p>
    <w:p>
      <w:pPr>
        <w:spacing w:before="0" w:after="160" w:line="280" w:lineRule="auto"/>
        <w:numPr>
          <w:ilvl w:val="0"/>
          <w:numId w:val="10"/>
        </w:numPr>
      </w:pPr>
      <w:r>
        <w:rPr>
          <w:rFonts w:ascii="Calibri" w:hAnsi="Calibri"/>
          <w:color w:val="182433"/>
          <w:sz w:val="22"/>
        </w:rPr>
        <w:t>Primary persona: Prisma application teams.</w:t>
      </w:r>
    </w:p>
    <w:p>
      <w:pPr>
        <w:spacing w:before="0" w:after="160" w:line="280" w:lineRule="auto"/>
        <w:numPr>
          <w:ilvl w:val="0"/>
          <w:numId w:val="10"/>
        </w:numPr>
      </w:pPr>
      <w:r>
        <w:rPr>
          <w:rFonts w:ascii="Calibri" w:hAnsi="Calibri"/>
          <w:color w:val="182433"/>
          <w:sz w:val="22"/>
        </w:rPr>
        <w:t>Safety claim: verified for human review, never safe to deploy.</w:t>
      </w:r>
    </w:p>
    <w:p>
      <w:pPr>
        <w:spacing w:before="0" w:after="160" w:line="280" w:lineRule="auto"/>
        <w:numPr>
          <w:ilvl w:val="0"/>
          <w:numId w:val="10"/>
        </w:numPr>
      </w:pPr>
      <w:r>
        <w:rPr>
          <w:rFonts w:ascii="Calibri" w:hAnsi="Calibri"/>
          <w:color w:val="182433"/>
          <w:sz w:val="22"/>
        </w:rPr>
        <w:t>MVP access: anonymous opaque analysis IDs; Clerk deferred to Phase 1.</w:t>
      </w:r>
    </w:p>
    <w:p>
      <w:pPr>
        <w:spacing w:before="0" w:after="160" w:line="280" w:lineRule="auto"/>
        <w:numPr>
          <w:ilvl w:val="0"/>
          <w:numId w:val="10"/>
        </w:numPr>
      </w:pPr>
      <w:r>
        <w:rPr>
          <w:rFonts w:ascii="Calibri" w:hAnsi="Calibri"/>
          <w:color w:val="182433"/>
          <w:sz w:val="22"/>
        </w:rPr>
        <w:t xml:space="preserve">Model: Vertex AI stable </w:t>
      </w:r>
      <w:r>
        <w:rPr>
          <w:rFonts w:ascii="Consolas" w:hAnsi="Consolas"/>
          <w:color w:val="1F4D78"/>
          <w:sz w:val="21"/>
          <w:shd w:fill="EEF2F6"/>
        </w:rPr>
        <w:t>gemini-3.6-flash</w:t>
      </w:r>
      <w:r>
        <w:rPr>
          <w:rFonts w:ascii="Calibri" w:hAnsi="Calibri"/>
          <w:color w:val="182433"/>
          <w:sz w:val="22"/>
        </w:rPr>
        <w:t>, configurable by explicit stable identifier.</w:t>
      </w:r>
    </w:p>
    <w:p>
      <w:pPr>
        <w:spacing w:before="0" w:after="160" w:line="280" w:lineRule="auto"/>
        <w:numPr>
          <w:ilvl w:val="0"/>
          <w:numId w:val="10"/>
        </w:numPr>
      </w:pPr>
      <w:r>
        <w:rPr>
          <w:rFonts w:ascii="Calibri" w:hAnsi="Calibri"/>
          <w:color w:val="182433"/>
          <w:sz w:val="22"/>
        </w:rPr>
        <w:t>Raw artifact retention: lifecycle-only; sanitized anonymous reports expire after 24 hours.</w:t>
      </w:r>
    </w:p>
    <w:p>
      <w:pPr>
        <w:spacing w:before="0" w:after="160" w:line="280" w:lineRule="auto"/>
        <w:numPr>
          <w:ilvl w:val="0"/>
          <w:numId w:val="10"/>
        </w:numPr>
      </w:pPr>
      <w:r>
        <w:rPr>
          <w:rFonts w:ascii="Calibri" w:hAnsi="Calibri"/>
          <w:color w:val="182433"/>
          <w:sz w:val="22"/>
        </w:rPr>
        <w:t>Production connections: prohibited.</w:t>
      </w:r>
    </w:p>
    <w:p>
      <w:pPr>
        <w:spacing w:before="0" w:after="160" w:line="280" w:lineRule="auto"/>
        <w:numPr>
          <w:ilvl w:val="0"/>
          <w:numId w:val="10"/>
        </w:numPr>
      </w:pPr>
      <w:r>
        <w:rPr>
          <w:rFonts w:ascii="Calibri" w:hAnsi="Calibri"/>
          <w:color w:val="182433"/>
          <w:sz w:val="22"/>
        </w:rPr>
        <w:t>Execution: disposable local PostgreSQL cluster per analysis for the MVP; isolated worker per analysis in production.</w:t>
      </w:r>
    </w:p>
    <w:p>
      <w:pPr>
        <w:spacing w:before="0" w:after="160" w:line="280" w:lineRule="auto"/>
        <w:numPr>
          <w:ilvl w:val="0"/>
          <w:numId w:val="10"/>
        </w:numPr>
      </w:pPr>
      <w:r>
        <w:rPr>
          <w:rFonts w:ascii="Calibri" w:hAnsi="Calibri"/>
          <w:color w:val="182433"/>
          <w:sz w:val="22"/>
        </w:rPr>
        <w:t>Lock results: heuristic only.</w:t>
      </w:r>
    </w:p>
    <w:p>
      <w:pPr>
        <w:spacing w:before="0" w:after="160" w:line="280" w:lineRule="auto"/>
        <w:numPr>
          <w:ilvl w:val="0"/>
          <w:numId w:val="10"/>
        </w:numPr>
      </w:pPr>
      <w:r>
        <w:rPr>
          <w:rFonts w:ascii="Calibri" w:hAnsi="Calibri"/>
          <w:color w:val="182433"/>
          <w:sz w:val="22"/>
        </w:rPr>
        <w:t>Deployment and repository mutation: outside this PRD deliverable and require explicit approval.</w:t>
      </w:r>
    </w:p>
    <w:p>
      <w:r>
        <w:br w:type="page"/>
      </w:r>
    </w:p>
    <w:p>
      <w:pPr>
        <w:pStyle w:val="Heading1"/>
      </w:pPr>
      <w:r>
        <w:rPr>
          <w:rFonts w:ascii="Calibri" w:hAnsi="Calibri"/>
          <w:color w:val="2E74B5"/>
          <w:sz w:val="32"/>
        </w:rPr>
        <w:t>23. References</w:t>
      </w:r>
    </w:p>
    <w:p>
      <w:pPr>
        <w:spacing w:before="0" w:after="160" w:line="280" w:lineRule="auto"/>
        <w:numPr>
          <w:ilvl w:val="0"/>
          <w:numId w:val="18"/>
        </w:numPr>
      </w:pPr>
      <w:r>
        <w:rPr>
          <w:rFonts w:ascii="Calibri" w:hAnsi="Calibri"/>
          <w:color w:val="182433"/>
          <w:sz w:val="22"/>
        </w:rPr>
        <w:t>Prisma, “prisma migrate deploy,” https://docs.prisma.io/docs/cli/migrate/deploy</w:t>
      </w:r>
    </w:p>
    <w:p>
      <w:pPr>
        <w:spacing w:before="0" w:after="160" w:line="280" w:lineRule="auto"/>
        <w:numPr>
          <w:ilvl w:val="0"/>
          <w:numId w:val="18"/>
        </w:numPr>
      </w:pPr>
      <w:r>
        <w:rPr>
          <w:rFonts w:ascii="Calibri" w:hAnsi="Calibri"/>
          <w:color w:val="182433"/>
          <w:sz w:val="22"/>
        </w:rPr>
        <w:t>Prisma, “About migration histories,” https://www.prisma.io/docs/orm/prisma-migrate/understanding-prisma-migrate/migration-histories</w:t>
      </w:r>
    </w:p>
    <w:p>
      <w:pPr>
        <w:spacing w:before="0" w:after="160" w:line="280" w:lineRule="auto"/>
        <w:numPr>
          <w:ilvl w:val="0"/>
          <w:numId w:val="18"/>
        </w:numPr>
      </w:pPr>
      <w:r>
        <w:rPr>
          <w:rFonts w:ascii="Calibri" w:hAnsi="Calibri"/>
          <w:color w:val="182433"/>
          <w:sz w:val="22"/>
        </w:rPr>
        <w:t>Atlas, “Migration analyzers,” https://atlasgo.io/lint/analyzers</w:t>
      </w:r>
    </w:p>
    <w:p>
      <w:pPr>
        <w:spacing w:before="0" w:after="160" w:line="280" w:lineRule="auto"/>
        <w:numPr>
          <w:ilvl w:val="0"/>
          <w:numId w:val="18"/>
        </w:numPr>
      </w:pPr>
      <w:r>
        <w:rPr>
          <w:rFonts w:ascii="Calibri" w:hAnsi="Calibri"/>
          <w:color w:val="182433"/>
          <w:sz w:val="22"/>
        </w:rPr>
        <w:t>Squawk, “Quick Start,” https://squawkhq.com/docs/</w:t>
      </w:r>
    </w:p>
    <w:p>
      <w:pPr>
        <w:spacing w:before="0" w:after="160" w:line="280" w:lineRule="auto"/>
        <w:numPr>
          <w:ilvl w:val="0"/>
          <w:numId w:val="18"/>
        </w:numPr>
      </w:pPr>
      <w:r>
        <w:rPr>
          <w:rFonts w:ascii="Calibri" w:hAnsi="Calibri"/>
          <w:color w:val="182433"/>
          <w:sz w:val="22"/>
        </w:rPr>
        <w:t>Prisma, “Deploying database changes with Prisma Migrate,” https://docs.prisma.io/docs/orm/prisma-client/deployment/deploy-database-changes-with-prisma-migrate</w:t>
      </w:r>
    </w:p>
    <w:p>
      <w:pPr>
        <w:spacing w:before="0" w:after="160" w:line="280" w:lineRule="auto"/>
        <w:numPr>
          <w:ilvl w:val="0"/>
          <w:numId w:val="18"/>
        </w:numPr>
      </w:pPr>
      <w:r>
        <w:rPr>
          <w:rFonts w:ascii="Calibri" w:hAnsi="Calibri"/>
          <w:color w:val="182433"/>
          <w:sz w:val="22"/>
        </w:rPr>
        <w:t>Google AI for Developers, “Gemini models,” https://ai.google.dev/gemini-api/docs/models</w:t>
      </w:r>
    </w:p>
    <w:p>
      <w:pPr>
        <w:spacing w:before="0" w:after="160" w:line="280" w:lineRule="auto"/>
        <w:numPr>
          <w:ilvl w:val="0"/>
          <w:numId w:val="18"/>
        </w:numPr>
      </w:pPr>
      <w:r>
        <w:rPr>
          <w:rFonts w:ascii="Calibri" w:hAnsi="Calibri"/>
          <w:color w:val="182433"/>
          <w:sz w:val="22"/>
        </w:rPr>
        <w:t>Google AI for Developers, “Structured outputs,” https://ai.google.dev/gemini-api/docs/structured-output</w:t>
      </w:r>
    </w:p>
    <w:p>
      <w:pPr>
        <w:spacing w:before="0" w:after="160" w:line="280" w:lineRule="auto"/>
        <w:numPr>
          <w:ilvl w:val="0"/>
          <w:numId w:val="18"/>
        </w:numPr>
      </w:pPr>
      <w:r>
        <w:rPr>
          <w:rFonts w:ascii="Calibri" w:hAnsi="Calibri"/>
          <w:color w:val="182433"/>
          <w:sz w:val="22"/>
        </w:rPr>
        <w:t>Prisma, “Expand-and-contract migrations,” https://www.prisma.io/docs/guides/database/data-migration</w:t>
      </w:r>
    </w:p>
    <w:p>
      <w:pPr>
        <w:spacing w:before="0" w:after="160" w:line="280" w:lineRule="auto"/>
        <w:numPr>
          <w:ilvl w:val="0"/>
          <w:numId w:val="18"/>
        </w:numPr>
      </w:pPr>
      <w:r>
        <w:rPr>
          <w:rFonts w:ascii="Calibri" w:hAnsi="Calibri"/>
          <w:color w:val="182433"/>
          <w:sz w:val="22"/>
        </w:rPr>
        <w:t>Prisma, “About the shadow database,” https://docs.prisma.io/docs/orm/prisma-migrate/understanding-prisma-migrate/shadow-database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RollbackReady  |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600"/>
      <w:gridCol w:w="3760"/>
    </w:tblGrid>
    <w:tr>
      <w:tc>
        <w:tcPr>
          <w:tcW w:type="dxa" w:w="5600"/>
          <w:vAlign w:val="center"/>
          <w:tcMar>
            <w:top w:w="80" w:type="dxa"/>
            <w:start w:w="120" w:type="dxa"/>
            <w:bottom w:w="80" w:type="dxa"/>
            <w:end w:w="120" w:type="dxa"/>
          </w:tcMar>
        </w:tcPr>
        <w:p>
          <w:r>
            <w:rPr>
              <w:rFonts w:ascii="Calibri" w:hAnsi="Calibri"/>
              <w:b/>
              <w:color w:val="667085"/>
              <w:sz w:val="17"/>
            </w:rPr>
            <w:t>ROLLBACKREADY  |  PRODUCT REQUIREMENTS DOCUMENT</w:t>
          </w:r>
        </w:p>
      </w:tc>
      <w:tc>
        <w:tcPr>
          <w:tcW w:type="dxa" w:w="3760"/>
          <w:vAlign w:val="center"/>
          <w:tcMar>
            <w:top w:w="80" w:type="dxa"/>
            <w:start w:w="120" w:type="dxa"/>
            <w:bottom w:w="80" w:type="dxa"/>
            <w:end w:w="120" w:type="dxa"/>
          </w:tcMar>
        </w:tcPr>
        <w:p>
          <w:pPr>
            <w:jc w:val="right"/>
          </w:pPr>
          <w:r>
            <w:rPr>
              <w:rFonts w:ascii="Calibri" w:hAnsi="Calibri"/>
              <w:b/>
              <w:color w:val="667085"/>
              <w:sz w:val="17"/>
            </w:rPr>
            <w:t>VERSION 1.0  |  DRAFT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bullet"/>
      <w:lvlText w:val="•"/>
      <w:lvlJc w:val="left"/>
      <w:pPr>
        <w:tabs>
          <w:tab w:val="num" w:pos="720"/>
        </w:tabs>
        <w:ind w:left="720" w:hanging="360"/>
      </w:pPr>
      <w:rPr>
        <w:rFonts w:ascii="Calibri" w:hAnsi="Calibri"/>
      </w:rPr>
    </w:lvl>
    <w:lvl w:ilvl="1">
      <w:start w:val="1"/>
      <w:numFmt w:val="bullet"/>
      <w:lvlText w:val="○"/>
      <w:lvlJc w:val="left"/>
      <w:pPr>
        <w:tabs>
          <w:tab w:val="num" w:pos="1080"/>
        </w:tabs>
        <w:ind w:left="1080" w:hanging="360"/>
      </w:pPr>
      <w:rPr>
        <w:rFonts w:ascii="Calibri" w:hAnsi="Calibri"/>
      </w:rPr>
    </w:lvl>
    <w:lvl w:ilvl="2">
      <w:start w:val="1"/>
      <w:numFmt w:val="bullet"/>
      <w:lvlText w:val="○"/>
      <w:lvlJc w:val="left"/>
      <w:pPr>
        <w:tabs>
          <w:tab w:val="num" w:pos="1440"/>
        </w:tabs>
        <w:ind w:left="1440" w:hanging="360"/>
      </w:pPr>
      <w:rPr>
        <w:rFonts w:ascii="Calibri" w:hAnsi="Calibri"/>
      </w:rPr>
    </w:lvl>
  </w:abstractNum>
  <w:abstractNum w:abstractNumId="10">
    <w:multiLevelType w:val="multilevel"/>
    <w:lvl w:ilvl="0">
      <w:start w:val="1"/>
      <w:numFmt w:val="decimal"/>
      <w:lvlText w:val="%1."/>
      <w:lvlJc w:val="left"/>
      <w:pPr>
        <w:tabs>
          <w:tab w:val="num" w:pos="720"/>
        </w:tabs>
        <w:ind w:left="720" w:hanging="360"/>
      </w:pPr>
      <w:rPr>
        <w:rFonts w:ascii="Calibri" w:hAnsi="Calibri"/>
      </w:rPr>
    </w:lvl>
    <w:lvl w:ilvl="1">
      <w:start w:val="1"/>
      <w:numFmt w:val="decimal"/>
      <w:lvlText w:val="%2."/>
      <w:lvlJc w:val="left"/>
      <w:pPr>
        <w:tabs>
          <w:tab w:val="num" w:pos="1080"/>
        </w:tabs>
        <w:ind w:left="1080" w:hanging="360"/>
      </w:pPr>
      <w:rPr>
        <w:rFonts w:ascii="Calibri" w:hAnsi="Calibri"/>
      </w:rPr>
    </w:lvl>
    <w:lvl w:ilvl="2">
      <w:start w:val="1"/>
      <w:numFmt w:val="decimal"/>
      <w:lvlText w:val="%3."/>
      <w:lvlJc w:val="left"/>
      <w:pPr>
        <w:tabs>
          <w:tab w:val="num" w:pos="1440"/>
        </w:tabs>
        <w:ind w:left="144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RollbackReady Product Requirements Document</dc:title>
  <dc:subject>Evidence-first migration safety for Prisma and PostgreSQL</dc:subject>
  <dc:creator>NYC Round 3 Session 1 Hackathon Team</dc:creator>
  <cp:keywords>RollbackReady, Prisma, PostgreSQL, migration safety, failure injection, Gemini</cp:keywords>
  <dc:description>Generated from docs/rollbackready-prd.md</dc:description>
  <cp:lastModifiedBy/>
  <cp:revision>1</cp:revision>
  <dcterms:created xsi:type="dcterms:W3CDTF">2013-12-23T23:15:00Z</dcterms:created>
  <dcterms:modified xsi:type="dcterms:W3CDTF">2013-12-23T23:15:00Z</dcterms:modified>
  <cp:category/>
</cp:coreProperties>
</file>