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</w:rPr>
        <w:t>SYNTHETIC BENEFITS SERVICES AGREEMENT</w:t>
      </w:r>
    </w:p>
    <w:p>
      <w:pPr>
        <w:spacing w:after="120"/>
      </w:pPr>
      <w:r>
        <w:rPr>
          <w:rFonts w:ascii="Calibri" w:hAnsi="Calibri"/>
          <w:sz w:val="22"/>
        </w:rPr>
        <w:t>Contract ID: SYN-2024-008</w:t>
      </w:r>
    </w:p>
    <w:p>
      <w:pPr>
        <w:spacing w:after="120"/>
      </w:pPr>
      <w:r>
        <w:rPr>
          <w:rFonts w:ascii="Calibri" w:hAnsi="Calibri"/>
          <w:sz w:val="22"/>
        </w:rPr>
        <w:t>This Synthetic Benefits Services Agreement (the "Agreement") is entered into by and between Greenfield Agro Foods ("Client") and Demo Benefits Administrator Inc. ("Administrator").</w:t>
      </w:r>
    </w:p>
    <w:p>
      <w:pPr>
        <w:spacing w:after="120"/>
      </w:pPr>
      <w:r>
        <w:rPr>
          <w:rFonts w:ascii="Calibri" w:hAnsi="Calibri"/>
          <w:sz w:val="22"/>
        </w:rPr>
        <w:t>1. Effective Period. This Agreement is effective from 2024-09-01 through 2025-08-31, unless earlier terminated in accordance with Section 8.</w:t>
      </w:r>
    </w:p>
    <w:p>
      <w:pPr>
        <w:spacing w:after="120"/>
      </w:pPr>
      <w:r>
        <w:rPr>
          <w:rFonts w:ascii="Calibri" w:hAnsi="Calibri"/>
          <w:sz w:val="22"/>
        </w:rPr>
        <w:t>2. Plan Type. Client elects a EPO arrangement administered through the Harvest Health provider network for the Midwest region.</w:t>
      </w:r>
    </w:p>
    <w:p>
      <w:pPr>
        <w:spacing w:after="120"/>
      </w:pPr>
      <w:r>
        <w:rPr>
          <w:rFonts w:ascii="Calibri" w:hAnsi="Calibri"/>
          <w:sz w:val="22"/>
        </w:rPr>
        <w:t>3. Financial Terms. Annual aggregate coverage limit is USD 450,000. Individual deductible is USD 2,500. Standard office visit co-pay is USD 50.</w:t>
      </w:r>
    </w:p>
    <w:p>
      <w:pPr>
        <w:spacing w:after="120"/>
      </w:pPr>
      <w:r>
        <w:rPr>
          <w:rFonts w:ascii="Calibri" w:hAnsi="Calibri"/>
          <w:sz w:val="22"/>
        </w:rPr>
        <w:t>4. Broker of Record. Prairie Mutual Advisors is designated as broker of record for this Agreement.</w:t>
      </w:r>
    </w:p>
    <w:p>
      <w:pPr>
        <w:spacing w:after="120"/>
      </w:pPr>
      <w:r>
        <w:rPr>
          <w:rFonts w:ascii="Calibri" w:hAnsi="Calibri"/>
          <w:sz w:val="22"/>
        </w:rPr>
        <w:t>5. Status. Current administrative status of this Agreement is recorded as: Draft.</w:t>
      </w:r>
    </w:p>
    <w:p>
      <w:pPr>
        <w:spacing w:after="120"/>
      </w:pPr>
      <w:r>
        <w:rPr>
          <w:rFonts w:ascii="Calibri" w:hAnsi="Calibri"/>
          <w:sz w:val="22"/>
        </w:rPr>
        <w:t>6. Confidentiality. This document is entirely synthetic and contains no real client, member, or proprietary LifeSource content. It is generated solely for academic PoC use.</w:t>
      </w:r>
    </w:p>
    <w:p>
      <w:pPr>
        <w:spacing w:after="120"/>
      </w:pPr>
      <w:r>
        <w:rPr>
          <w:rFonts w:ascii="Calibri" w:hAnsi="Calibri"/>
          <w:sz w:val="22"/>
        </w:rPr>
        <w:t>7. Notices. Notices under this Agreement shall be delivered in writing to the addresses specified in Schedule A (omitted in this synthetic sample).</w:t>
      </w:r>
    </w:p>
    <w:p>
      <w:pPr>
        <w:spacing w:after="120"/>
      </w:pPr>
      <w:r>
        <w:rPr>
          <w:rFonts w:ascii="Calibri" w:hAnsi="Calibri"/>
          <w:sz w:val="22"/>
        </w:rPr>
        <w:t>8. Termination. Either party may terminate for material breach with 30 days written notice and opportunity to cure.</w:t>
      </w:r>
    </w:p>
    <w:p>
      <w:pPr>
        <w:spacing w:after="120"/>
      </w:pPr>
      <w:r>
        <w:rPr>
          <w:rFonts w:ascii="Calibri" w:hAnsi="Calibri"/>
          <w:sz w:val="22"/>
        </w:rPr>
        <w:t>IN WITNESS WHEREOF, the parties have executed this synthetic sample agreement.</w:t>
      </w:r>
    </w:p>
    <w:p>
      <w:pPr>
        <w:spacing w:after="120"/>
      </w:pPr>
      <w:r>
        <w:rPr>
          <w:rFonts w:ascii="Calibri" w:hAnsi="Calibri"/>
          <w:sz w:val="22"/>
        </w:rPr>
        <w:t>Generated for BITS WILP Big Data Systems (CC ZG522) Situated Learning PoC — 2026-07-23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Value</w:t>
            </w:r>
          </w:p>
        </w:tc>
      </w:tr>
      <w:tr>
        <w:tc>
          <w:tcPr>
            <w:tcW w:type="dxa" w:w="4824"/>
          </w:tcPr>
          <w:p>
            <w:r>
              <w:t>Contract ID</w:t>
            </w:r>
          </w:p>
        </w:tc>
        <w:tc>
          <w:tcPr>
            <w:tcW w:type="dxa" w:w="4824"/>
          </w:tcPr>
          <w:p>
            <w:r>
              <w:t>SYN-2024-008</w:t>
            </w:r>
          </w:p>
        </w:tc>
      </w:tr>
      <w:tr>
        <w:tc>
          <w:tcPr>
            <w:tcW w:type="dxa" w:w="4824"/>
          </w:tcPr>
          <w:p>
            <w:r>
              <w:t>Client</w:t>
            </w:r>
          </w:p>
        </w:tc>
        <w:tc>
          <w:tcPr>
            <w:tcW w:type="dxa" w:w="4824"/>
          </w:tcPr>
          <w:p>
            <w:r>
              <w:t>Greenfield Agro Foods</w:t>
            </w:r>
          </w:p>
        </w:tc>
      </w:tr>
      <w:tr>
        <w:tc>
          <w:tcPr>
            <w:tcW w:type="dxa" w:w="4824"/>
          </w:tcPr>
          <w:p>
            <w:r>
              <w:t>Plan Type</w:t>
            </w:r>
          </w:p>
        </w:tc>
        <w:tc>
          <w:tcPr>
            <w:tcW w:type="dxa" w:w="4824"/>
          </w:tcPr>
          <w:p>
            <w:r>
              <w:t>EPO</w:t>
            </w:r>
          </w:p>
        </w:tc>
      </w:tr>
      <w:tr>
        <w:tc>
          <w:tcPr>
            <w:tcW w:type="dxa" w:w="4824"/>
          </w:tcPr>
          <w:p>
            <w:r>
              <w:t>Network</w:t>
            </w:r>
          </w:p>
        </w:tc>
        <w:tc>
          <w:tcPr>
            <w:tcW w:type="dxa" w:w="4824"/>
          </w:tcPr>
          <w:p>
            <w:r>
              <w:t>Harvest Health</w:t>
            </w:r>
          </w:p>
        </w:tc>
      </w:tr>
      <w:tr>
        <w:tc>
          <w:tcPr>
            <w:tcW w:type="dxa" w:w="4824"/>
          </w:tcPr>
          <w:p>
            <w:r>
              <w:t>Region</w:t>
            </w:r>
          </w:p>
        </w:tc>
        <w:tc>
          <w:tcPr>
            <w:tcW w:type="dxa" w:w="4824"/>
          </w:tcPr>
          <w:p>
            <w:r>
              <w:t>Midwest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Draft</w:t>
            </w:r>
          </w:p>
        </w:tc>
      </w:tr>
    </w:tbl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