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A">
      <w:pPr>
        <w:pStyle w:val="Title"/>
        <w:keepNext/>
        <w:pageBreakBefore w:val="0"/>
        <w:spacing w:line="278" w:lineRule="auto" w:before="0" w:after="160"/>
        <w:jc w:val="left"/>
        <w:rPr>
          <w:rFonts w:ascii="Helvetica Neue" w:cs="Helvetica Neue" w:eastAsia="Helvetica Neue" w:hAnsi="Helvetica Neue"/>
          <w:sz w:val="72"/>
          <w:szCs w:val="72"/>
        </w:rPr>
      </w:pPr>
      <w:r>
        <w:rPr>
          <w:rFonts w:ascii="Helvetica Neue" w:cs="Helvetica Neue" w:eastAsia="Helvetica Neue" w:hAnsi="Helvetica Neue"/>
          <w:color w:val="000000"/>
          <w:sz w:val="44"/>
          <w:szCs w:val="72"/>
          <w:rtl w:val="0"/>
        </w:rPr>
        <w:t>CampusFix Product Requirements</w:t>
      </w:r>
    </w:p>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t>Campus accountability and student community platform</w:t>
        <w:br/>
        <w:t>18 September 2026 | Feature specification for the First Commit build</w:t>
      </w:r>
    </w:p>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t>Build a verified campus workspace where students report problems, see who owns them, follow evidence-backed resolutions, ask questions, organize activities and exchange items. Keep official service work separate from peer posts so neither gets buried.</w:t>
      </w:r>
    </w:p>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t>This document defines required behavior, information boundaries and release priorities. Database keys, API contracts, screen designs and infrastructure definitions come next. All limits and service targets below are proposed defaults for a pilot.</w:t>
      </w:r>
    </w:p>
    <w:p w14:paraId="0000003E">
      <w:pPr>
        <w:pStyle w:val="Heading3"/>
        <w:keepNext/>
        <w:pageBreakBefore w:val="0"/>
        <w:spacing w:after="160" w:line="278" w:lineRule="auto" w:before="200"/>
        <w:jc w:val="left"/>
        <w:rPr/>
      </w:pPr>
      <w:r>
        <w:rPr>
          <w:b/>
          <w:color w:val="000000"/>
          <w:sz w:val="22"/>
          <w:rtl w:val="0"/>
        </w:rPr>
        <w:t>Product decisions</w:t>
      </w:r>
    </w:p>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t>• Four areas: Issues, Questions, Activities and Marketplace. Add a searchable Resolution Library and a campus accountability dashboard.</w:t>
      </w:r>
    </w:p>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t>• Every post records its type, topic, audience and responsible party separately. A hostel location alone does not determine the handling department.</w:t>
      </w:r>
    </w:p>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t>• Every official issue has one primary owner plus optional collaborators. Students can see progress even when several teams contribute.</w:t>
      </w:r>
    </w:p>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t>• Publish service outcomes and decision reasons within the permitted audience. Restrict personal evidence and sensitive cases. Open-source code does not make student data public.</w:t>
      </w:r>
    </w:p>
    <w:p w14:paraId="0000003E">
      <w:pPr>
        <w:pStyle w:val="Heading3"/>
        <w:keepNext/>
        <w:pageBreakBefore w:val="0"/>
        <w:spacing w:after="160" w:line="278" w:lineRule="auto" w:before="200"/>
        <w:jc w:val="left"/>
        <w:rPr/>
      </w:pPr>
      <w:r>
        <w:rPr>
          <w:b/>
          <w:color w:val="000000"/>
          <w:sz w:val="22"/>
          <w:rtl w:val="0"/>
        </w:rPr>
        <w:t>Membership and authority</w:t>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1800"/>
        <w:gridCol w:w="3744"/>
        <w:gridCol w:w="4680"/>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800" w:type="dxa"/>
          </w:tcPr>
          <w:p w14:paraId="00000093">
            <w:pPr>
              <w:keepNext w:val="0"/>
              <w:spacing w:after="0" w:before="0" w:line="259" w:lineRule="auto"/>
              <w:rPr>
                <w:rFonts w:ascii="Helvetica Neue" w:cs="Helvetica Neue" w:eastAsia="Helvetica Neue" w:hAnsi="Helvetica Neue"/>
              </w:rPr>
            </w:pPr>
            <w:r>
              <w:rPr>
                <w:rFonts w:ascii="Helvetica Neue" w:cs="Helvetica Neue" w:eastAsia="Helvetica Neue" w:hAnsi="Helvetica Neue"/>
                <w:b w:val="1"/>
                <w:bCs w:val="1"/>
                <w:color w:val="ffffff"/>
                <w:sz w:val="20"/>
                <w:rtl w:val="0"/>
              </w:rPr>
              <w:t>Role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744" w:type="dxa"/>
          </w:tcPr>
          <w:p w14:paraId="00000094">
            <w:pPr>
              <w:keepNext w:val="0"/>
              <w:spacing w:after="0" w:before="0" w:line="259" w:lineRule="auto"/>
              <w:rPr>
                <w:rFonts w:ascii="Helvetica Neue" w:cs="Helvetica Neue" w:eastAsia="Helvetica Neue" w:hAnsi="Helvetica Neue"/>
              </w:rPr>
            </w:pPr>
            <w:r>
              <w:rPr>
                <w:rFonts w:ascii="Helvetica Neue" w:cs="Helvetica Neue" w:eastAsia="Helvetica Neue" w:hAnsi="Helvetica Neue"/>
                <w:b w:val="1"/>
                <w:bCs w:val="1"/>
                <w:color w:val="ffffff"/>
                <w:sz w:val="20"/>
                <w:rtl w:val="0"/>
              </w:rPr>
              <w:t>Joining the workspace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680" w:type="dxa"/>
          </w:tcPr>
          <w:p w14:paraId="00000095">
            <w:pPr>
              <w:keepNext w:val="0"/>
              <w:spacing w:after="0" w:before="0" w:line="259" w:lineRule="auto"/>
              <w:rPr>
                <w:rFonts w:ascii="Helvetica Neue" w:cs="Helvetica Neue" w:eastAsia="Helvetica Neue" w:hAnsi="Helvetica Neue"/>
              </w:rPr>
            </w:pPr>
            <w:r>
              <w:rPr>
                <w:rFonts w:ascii="Helvetica Neue" w:cs="Helvetica Neue" w:eastAsia="Helvetica Neue" w:hAnsi="Helvetica Neue"/>
                <w:b w:val="1"/>
                <w:bCs w:val="1"/>
                <w:color w:val="ffffff"/>
                <w:sz w:val="20"/>
                <w:rtl w:val="0"/>
              </w:rPr>
              <w:t>Authority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1800" w:type="dxa"/>
          </w:tcPr>
          <w:p w14:paraId="00000096">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Campus administrator</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744" w:type="dxa"/>
          </w:tcPr>
          <w:p w14:paraId="00000097">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Initial representative checked against a college-controlled contact; appointments recorded.</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4680" w:type="dxa"/>
          </w:tcPr>
          <w:p w14:paraId="00000098">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Configure units and email domains; invite staff; approve roles and membership exceptions.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1800" w:type="dxa"/>
          </w:tcPr>
          <w:p w14:paraId="00000096">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Staff or unit representative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744" w:type="dxa"/>
          </w:tcPr>
          <w:p w14:paraId="00000097">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Email-specific invitation from an authorized administrator.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680" w:type="dxa"/>
          </w:tcPr>
          <w:p w14:paraId="00000098">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Own issues in assigned units; add progress and resolution evidence.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1800" w:type="dxa"/>
          </w:tcPr>
          <w:p w14:paraId="00000096">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Student</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744" w:type="dxa"/>
          </w:tcPr>
          <w:p w14:paraId="00000097">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Verified approved college email, or approved invitation to another email.</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4680" w:type="dxa"/>
          </w:tcPr>
          <w:p w14:paraId="00000098">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Post, reply, support issues, join activities and manage own listings.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1800" w:type="dxa"/>
          </w:tcPr>
          <w:p w14:paraId="00000096">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Moderator and appeal reviewer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744" w:type="dxa"/>
          </w:tcPr>
          <w:p w14:paraId="00000097">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Explicit appointment; reviewer independent of the disputed decision.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680" w:type="dxa"/>
          </w:tcPr>
          <w:p w14:paraId="00000098">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Apply published rules; record reasons; review appeals. No blanket access to sensitive cases.</w:t>
            </w:r>
          </w:p>
        </w:tc>
      </w:tr>
    </w:tbl>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t>One account can have several approved memberships: department, batch, hostel and clubs. Email verification proves control of an address; it does not prove administrative authority. Membership changes, graduation and staff handovers must revoke stale access.</w:t>
      </w:r>
    </w:p>
    <w:p w14:paraId="00000026">
      <w:pPr>
        <w:pStyle w:val="Heading1"/>
        <w:keepNext/>
        <w:pageBreakBefore w:val="0"/>
        <w:spacing w:after="160" w:before="200" w:line="278" w:lineRule="auto"/>
        <w:jc w:val="left"/>
        <w:rPr>
          <w:rFonts w:ascii="Helvetica Neue" w:cs="Helvetica Neue" w:eastAsia="Helvetica Neue" w:hAnsi="Helvetica Neue"/>
          <w:color w:val="000000"/>
        </w:rPr>
      </w:pPr>
      <w:r>
        <w:rPr>
          <w:rFonts w:ascii="Helvetica Neue" w:cs="Helvetica Neue" w:eastAsia="Helvetica Neue" w:hAnsi="Helvetica Neue"/>
          <w:color w:val="000000"/>
          <w:sz w:val="27"/>
          <w:rtl w:val="0"/>
        </w:rPr>
        <w:t>1 Categories and responsible teams</w:t>
      </w:r>
    </w:p>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t>Start with this configurable directory. The campus administrator names a service lead, backup and escalation contact for each unit. Students choose the affected place and topic; the system suggests the responsible queue.</w:t>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32"/>
        <w:gridCol w:w="4032"/>
        <w:gridCol w:w="3960"/>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232" w:type="dxa"/>
          </w:tcPr>
          <w:p w14:paraId="00000093">
            <w:pPr>
              <w:keepNext w:val="0"/>
              <w:spacing w:after="0" w:before="0" w:line="259" w:lineRule="auto"/>
              <w:rPr>
                <w:rFonts w:ascii="Helvetica Neue" w:cs="Helvetica Neue" w:eastAsia="Helvetica Neue" w:hAnsi="Helvetica Neue"/>
              </w:rPr>
            </w:pPr>
            <w:r>
              <w:rPr>
                <w:rFonts w:ascii="Helvetica Neue" w:cs="Helvetica Neue" w:eastAsia="Helvetica Neue" w:hAnsi="Helvetica Neue"/>
                <w:b w:val="1"/>
                <w:bCs w:val="1"/>
                <w:color w:val="ffffff"/>
                <w:sz w:val="20"/>
                <w:rtl w:val="0"/>
              </w:rPr>
              <w:t>Topic</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032" w:type="dxa"/>
          </w:tcPr>
          <w:p w14:paraId="00000094">
            <w:pPr>
              <w:keepNext w:val="0"/>
              <w:spacing w:after="0" w:before="0" w:line="259" w:lineRule="auto"/>
              <w:rPr>
                <w:rFonts w:ascii="Helvetica Neue" w:cs="Helvetica Neue" w:eastAsia="Helvetica Neue" w:hAnsi="Helvetica Neue"/>
              </w:rPr>
            </w:pPr>
            <w:r>
              <w:rPr>
                <w:rFonts w:ascii="Helvetica Neue" w:cs="Helvetica Neue" w:eastAsia="Helvetica Neue" w:hAnsi="Helvetica Neue"/>
                <w:b w:val="1"/>
                <w:bCs w:val="1"/>
                <w:color w:val="ffffff"/>
                <w:sz w:val="20"/>
                <w:rtl w:val="0"/>
              </w:rPr>
              <w:t>Typical cases</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960" w:type="dxa"/>
          </w:tcPr>
          <w:p w14:paraId="00000095">
            <w:pPr>
              <w:keepNext w:val="0"/>
              <w:spacing w:after="0" w:before="0" w:line="259" w:lineRule="auto"/>
              <w:rPr>
                <w:rFonts w:ascii="Helvetica Neue" w:cs="Helvetica Neue" w:eastAsia="Helvetica Neue" w:hAnsi="Helvetica Neue"/>
              </w:rPr>
            </w:pPr>
            <w:r>
              <w:rPr>
                <w:rFonts w:ascii="Helvetica Neue" w:cs="Helvetica Neue" w:eastAsia="Helvetica Neue" w:hAnsi="Helvetica Neue"/>
                <w:b w:val="1"/>
                <w:bCs w:val="1"/>
                <w:color w:val="ffffff"/>
                <w:sz w:val="20"/>
                <w:rtl w:val="0"/>
              </w:rPr>
              <w:t>Default responsible team</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232" w:type="dxa"/>
          </w:tcPr>
          <w:p w14:paraId="00000096">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Hostel and residence</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4032" w:type="dxa"/>
          </w:tcPr>
          <w:p w14:paraId="00000097">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Rooms, common areas, water, housekeeping, hostel rules</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960" w:type="dxa"/>
          </w:tcPr>
          <w:p w14:paraId="00000098">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Hostel office or warden; maintenance staff as collaborators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232" w:type="dxa"/>
          </w:tcPr>
          <w:p w14:paraId="00000096">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Mess and canteen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032" w:type="dxa"/>
          </w:tcPr>
          <w:p w14:paraId="00000097">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Food quality, menu, serving times, hygiene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60" w:type="dxa"/>
          </w:tcPr>
          <w:p w14:paraId="00000098">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Mess committee or dining manager</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232" w:type="dxa"/>
          </w:tcPr>
          <w:p w14:paraId="00000096">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Department and academics</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4032" w:type="dxa"/>
          </w:tcPr>
          <w:p w14:paraId="00000097">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Classes, laboratories, equipment, academic processes</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960" w:type="dxa"/>
          </w:tcPr>
          <w:p w14:paraId="00000098">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Department office or appointed academic coordinator</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232" w:type="dxa"/>
          </w:tcPr>
          <w:p w14:paraId="00000096">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Examinations and records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032" w:type="dxa"/>
          </w:tcPr>
          <w:p w14:paraId="00000097">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Timetables, registration, certificates, result corrections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60" w:type="dxa"/>
          </w:tcPr>
          <w:p w14:paraId="00000098">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Examination cell or registrar</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232" w:type="dxa"/>
          </w:tcPr>
          <w:p w14:paraId="00000096">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Campus infrastructure</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4032" w:type="dxa"/>
          </w:tcPr>
          <w:p w14:paraId="00000097">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Buildings, lighting, roads, sanitation, accessibility</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960" w:type="dxa"/>
          </w:tcPr>
          <w:p w14:paraId="00000098">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Facilities or estate office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232" w:type="dxa"/>
          </w:tcPr>
          <w:p w14:paraId="00000096">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IT and connectivity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032" w:type="dxa"/>
          </w:tcPr>
          <w:p w14:paraId="00000097">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Wi-Fi, accounts, portals, computer facilities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60" w:type="dxa"/>
          </w:tcPr>
          <w:p w14:paraId="00000098">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IT helpdesk</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232" w:type="dxa"/>
          </w:tcPr>
          <w:p w14:paraId="00000096">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Library and learning spaces</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4032" w:type="dxa"/>
          </w:tcPr>
          <w:p w14:paraId="00000097">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Books, opening hours, seating, shared study spaces</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960" w:type="dxa"/>
          </w:tcPr>
          <w:p w14:paraId="00000098">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Library administration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232" w:type="dxa"/>
          </w:tcPr>
          <w:p w14:paraId="00000096">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Transport and parking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032" w:type="dxa"/>
          </w:tcPr>
          <w:p w14:paraId="00000097">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Bus routes, schedules, bicycle or vehicle parking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60" w:type="dxa"/>
          </w:tcPr>
          <w:p w14:paraId="00000098">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Transport office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232" w:type="dxa"/>
          </w:tcPr>
          <w:p w14:paraId="00000096">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Placement and careers</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4032" w:type="dxa"/>
          </w:tcPr>
          <w:p w14:paraId="00000097">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Recruitment notices, eligibility, training, application issues</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960" w:type="dxa"/>
          </w:tcPr>
          <w:p w14:paraId="00000098">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Placement cell</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232" w:type="dxa"/>
          </w:tcPr>
          <w:p w14:paraId="00000096">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Fees and scholarships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032" w:type="dxa"/>
          </w:tcPr>
          <w:p w14:paraId="00000097">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Fee policy, refunds, payment errors, scholarship processing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60" w:type="dxa"/>
          </w:tcPr>
          <w:p w14:paraId="00000098">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Accounts office or scholarship cell</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232" w:type="dxa"/>
          </w:tcPr>
          <w:p w14:paraId="00000096">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Clubs and student bodies</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4032" w:type="dxa"/>
          </w:tcPr>
          <w:p w14:paraId="00000097">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Membership, events, equipment, permissions</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960" w:type="dxa"/>
          </w:tcPr>
          <w:p w14:paraId="00000098">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Club lead with faculty adviser or student affairs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232" w:type="dxa"/>
          </w:tcPr>
          <w:p w14:paraId="00000096">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Sports and campus life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032" w:type="dxa"/>
          </w:tcPr>
          <w:p w14:paraId="00000097">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Facilities, student amenities, common activities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60" w:type="dxa"/>
          </w:tcPr>
          <w:p w14:paraId="00000098">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Sports office or student affairs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232" w:type="dxa"/>
          </w:tcPr>
          <w:p w14:paraId="00000096">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Safety and personal welfare</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4032" w:type="dxa"/>
          </w:tcPr>
          <w:p w14:paraId="00000097">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Sensitive misconduct, personal support or security reports</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960" w:type="dxa"/>
          </w:tcPr>
          <w:p w14:paraId="00000098">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Designated restricted case handlers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232" w:type="dxa"/>
          </w:tcPr>
          <w:p w14:paraId="00000096">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Other or unclear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032" w:type="dxa"/>
          </w:tcPr>
          <w:p w14:paraId="00000097">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Unclassified request or several affected services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60" w:type="dxa"/>
          </w:tcPr>
          <w:p w14:paraId="00000098">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Campus triage queue with a named duty owner</w:t>
            </w:r>
          </w:p>
        </w:tc>
      </w:tr>
    </w:tbl>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t>Cross-unit example: hostel Wi-Fi belongs to the IT queue, is visible to that hostel, and includes the hostel office as a collaborator. General campus Wi-Fi downtime can be campus-wide. “Other” must be triaged, never left unowned.</w:t>
      </w:r>
    </w:p>
    <w:p w14:paraId="00000026">
      <w:pPr>
        <w:pStyle w:val="Heading1"/>
        <w:keepNext/>
        <w:pageBreakBefore w:val="0"/>
        <w:spacing w:after="160" w:before="200" w:line="278" w:lineRule="auto"/>
        <w:jc w:val="left"/>
        <w:rPr>
          <w:rFonts w:ascii="Helvetica Neue" w:cs="Helvetica Neue" w:eastAsia="Helvetica Neue" w:hAnsi="Helvetica Neue"/>
          <w:color w:val="000000"/>
        </w:rPr>
      </w:pPr>
      <w:r>
        <w:rPr>
          <w:rFonts w:ascii="Helvetica Neue" w:cs="Helvetica Neue" w:eastAsia="Helvetica Neue" w:hAnsi="Helvetica Neue"/>
          <w:color w:val="000000"/>
          <w:sz w:val="27"/>
          <w:rtl w:val="0"/>
        </w:rPr>
        <w:t>2 Visibility and access rules</w:t>
      </w:r>
    </w:p>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t>Audience controls who can read a post. Responsibility controls who must act. Tags help discovery. None of these fields may silently grant access to another college, group or private attachment.</w:t>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088"/>
        <w:gridCol w:w="4248"/>
        <w:gridCol w:w="3888"/>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088" w:type="dxa"/>
          </w:tcPr>
          <w:p w14:paraId="00000093">
            <w:pPr>
              <w:keepNext w:val="0"/>
              <w:spacing w:after="0" w:before="0" w:line="259" w:lineRule="auto"/>
              <w:rPr>
                <w:rFonts w:ascii="Helvetica Neue" w:cs="Helvetica Neue" w:eastAsia="Helvetica Neue" w:hAnsi="Helvetica Neue"/>
              </w:rPr>
            </w:pPr>
            <w:r>
              <w:rPr>
                <w:rFonts w:ascii="Helvetica Neue" w:cs="Helvetica Neue" w:eastAsia="Helvetica Neue" w:hAnsi="Helvetica Neue"/>
                <w:b w:val="1"/>
                <w:bCs w:val="1"/>
                <w:color w:val="ffffff"/>
                <w:sz w:val="20"/>
                <w:rtl w:val="0"/>
              </w:rPr>
              <w:t>Audience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248" w:type="dxa"/>
          </w:tcPr>
          <w:p w14:paraId="00000094">
            <w:pPr>
              <w:keepNext w:val="0"/>
              <w:spacing w:after="0" w:before="0" w:line="259" w:lineRule="auto"/>
              <w:rPr>
                <w:rFonts w:ascii="Helvetica Neue" w:cs="Helvetica Neue" w:eastAsia="Helvetica Neue" w:hAnsi="Helvetica Neue"/>
              </w:rPr>
            </w:pPr>
            <w:r>
              <w:rPr>
                <w:rFonts w:ascii="Helvetica Neue" w:cs="Helvetica Neue" w:eastAsia="Helvetica Neue" w:hAnsi="Helvetica Neue"/>
                <w:b w:val="1"/>
                <w:bCs w:val="1"/>
                <w:color w:val="ffffff"/>
                <w:sz w:val="20"/>
                <w:rtl w:val="0"/>
              </w:rPr>
              <w:t>Who can see it</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888" w:type="dxa"/>
          </w:tcPr>
          <w:p w14:paraId="00000095">
            <w:pPr>
              <w:keepNext w:val="0"/>
              <w:spacing w:after="0" w:before="0" w:line="259" w:lineRule="auto"/>
              <w:rPr>
                <w:rFonts w:ascii="Helvetica Neue" w:cs="Helvetica Neue" w:eastAsia="Helvetica Neue" w:hAnsi="Helvetica Neue"/>
              </w:rPr>
            </w:pPr>
            <w:r>
              <w:rPr>
                <w:rFonts w:ascii="Helvetica Neue" w:cs="Helvetica Neue" w:eastAsia="Helvetica Neue" w:hAnsi="Helvetica Neue"/>
                <w:b w:val="1"/>
                <w:bCs w:val="1"/>
                <w:color w:val="ffffff"/>
                <w:sz w:val="20"/>
                <w:rtl w:val="0"/>
              </w:rPr>
              <w:t>Typical use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088" w:type="dxa"/>
          </w:tcPr>
          <w:p w14:paraId="00000096">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Campus</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4248" w:type="dxa"/>
          </w:tcPr>
          <w:p w14:paraId="00000097">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All active verified members of that college</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888" w:type="dxa"/>
          </w:tcPr>
          <w:p w14:paraId="00000098">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Placement policy, general fee policy, campus amenities, open activities and marketplace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088" w:type="dxa"/>
          </w:tcPr>
          <w:p w14:paraId="00000096">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Selected groups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248" w:type="dxa"/>
          </w:tcPr>
          <w:p w14:paraId="00000097">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Members of approved hostel, department, batch or club groups; explicitly assigned handlers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88" w:type="dxa"/>
          </w:tcPr>
          <w:p w14:paraId="00000098">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Hostel repairs, department facilities, club administration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088" w:type="dxa"/>
          </w:tcPr>
          <w:p w14:paraId="00000096">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Restricted case</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4248" w:type="dxa"/>
          </w:tcPr>
          <w:p w14:paraId="00000097">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Reporter and explicitly authorized case handlers; recorded reviewer access only</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888" w:type="dxa"/>
          </w:tcPr>
          <w:p w14:paraId="00000098">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Individual fee receipts, marks, personal complaints, sensitive welfare cases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088" w:type="dxa"/>
          </w:tcPr>
          <w:p w14:paraId="00000096">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Private coordination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248" w:type="dxa"/>
          </w:tcPr>
          <w:p w14:paraId="00000097">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Approved participants in a join request or buyer–seller inquiry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88" w:type="dxa"/>
          </w:tcPr>
          <w:p w14:paraId="00000098">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Meeting details, collection arrangements, participant contact information</w:t>
            </w:r>
          </w:p>
        </w:tc>
      </w:tr>
    </w:tbl>
    <w:p w14:paraId="0000003E">
      <w:pPr>
        <w:pStyle w:val="Heading3"/>
        <w:keepNext/>
        <w:pageBreakBefore w:val="0"/>
        <w:spacing w:after="160" w:line="278" w:lineRule="auto" w:before="200"/>
        <w:jc w:val="left"/>
        <w:rPr/>
      </w:pPr>
      <w:r>
        <w:rPr>
          <w:b/>
          <w:color w:val="000000"/>
          <w:sz w:val="22"/>
          <w:rtl w:val="0"/>
        </w:rPr>
        <w:t>Rules that must hold</w:t>
      </w:r>
    </w:p>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t>• For multiple selected groups, membership in any selected group grants visibility. The compose screen previews the exact audience before posting. A later intersection mode requires an explicit product decision.</w:t>
      </w:r>
    </w:p>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t>• Hostel and department memberships require approval or an approved roster. A student cannot grant themselves access by editing their profile.</w:t>
      </w:r>
    </w:p>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t>• A placement or fee policy discussion can be campus-wide; an individual placement dispute or payment proof remains restricted. Publish a separate redacted general issue when useful.</w:t>
      </w:r>
    </w:p>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t>• Replies inherit the parent audience. Internal staff notes and private attachments use a separate narrower permission scope and never appear in student exports or summaries.</w:t>
      </w:r>
    </w:p>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t>• A mention only notifies someone who can already access the post. Requesting help from an outsider needs an explicit authorized invitation; tagging never changes visibility.</w:t>
      </w:r>
    </w:p>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t>• Widening the audience requires a reason and evidence review. Do not automatically copy restricted replies or files into the wider post. Log the change and notify the reporter.</w:t>
      </w:r>
    </w:p>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t>• Enforce permissions on the server for feeds, direct links, search, file downloads, notification previews, exports, aggregate counts and AI retrieval. Revoked memberships lose group access.</w:t>
      </w:r>
    </w:p>
    <w:p w14:paraId="0000003E">
      <w:pPr>
        <w:pStyle w:val="Heading3"/>
        <w:keepNext/>
        <w:pageBreakBefore w:val="0"/>
        <w:spacing w:after="160" w:line="278" w:lineRule="auto" w:before="200"/>
        <w:jc w:val="left"/>
        <w:rPr/>
      </w:pPr>
      <w:r>
        <w:rPr>
          <w:b/>
          <w:color w:val="000000"/>
          <w:sz w:val="22"/>
          <w:rtl w:val="0"/>
        </w:rPr>
        <w:t>Visibility versus discoverability</w:t>
      </w:r>
    </w:p>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t>An authorized student can browse all permitted posts and sort by age, status, unit or update time. Personal feed filters must not hide records from the underlying permitted archive. Sensitive cases contribute only to sufficiently aggregated metrics; proposed minimum group size is ten.</w:t>
      </w:r>
    </w:p>
    <w:p w14:paraId="00000026">
      <w:pPr>
        <w:pStyle w:val="Heading1"/>
        <w:keepNext/>
        <w:pageBreakBefore w:val="0"/>
        <w:spacing w:after="160" w:before="200" w:line="278" w:lineRule="auto"/>
        <w:jc w:val="left"/>
        <w:rPr>
          <w:rFonts w:ascii="Helvetica Neue" w:cs="Helvetica Neue" w:eastAsia="Helvetica Neue" w:hAnsi="Helvetica Neue"/>
          <w:color w:val="000000"/>
        </w:rPr>
      </w:pPr>
      <w:r>
        <w:rPr>
          <w:rFonts w:ascii="Helvetica Neue" w:cs="Helvetica Neue" w:eastAsia="Helvetica Neue" w:hAnsi="Helvetica Neue"/>
          <w:color w:val="000000"/>
          <w:sz w:val="27"/>
          <w:rtl w:val="0"/>
        </w:rPr>
        <w:t>3 Issue ownership and resolution</w:t>
      </w:r>
    </w:p>
    <w:p w14:paraId="0000003E">
      <w:pPr>
        <w:pStyle w:val="Heading3"/>
        <w:keepNext/>
        <w:pageBreakBefore w:val="0"/>
        <w:spacing w:after="160" w:line="278" w:lineRule="auto" w:before="200"/>
        <w:jc w:val="left"/>
        <w:rPr/>
      </w:pPr>
      <w:r>
        <w:rPr>
          <w:b/>
          <w:color w:val="000000"/>
          <w:sz w:val="22"/>
          <w:rtl w:val="0"/>
        </w:rPr>
        <w:t>Submission</w:t>
      </w:r>
    </w:p>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t>Required: concise title, description, affected unit or location, topic and audience. Evidence is optional so a student can report an issue they cannot safely photograph. Allow up to three attachments. Save a draft, show possible duplicate issues, and offer “I am affected too” before creating a new report.</w:t>
      </w:r>
    </w:p>
    <w:p w14:paraId="0000003E">
      <w:pPr>
        <w:pStyle w:val="Heading3"/>
        <w:keepNext/>
        <w:pageBreakBefore w:val="0"/>
        <w:spacing w:after="160" w:line="278" w:lineRule="auto" w:before="200"/>
        <w:jc w:val="left"/>
        <w:rPr/>
      </w:pPr>
      <w:r>
        <w:rPr>
          <w:b/>
          <w:color w:val="000000"/>
          <w:sz w:val="22"/>
          <w:rtl w:val="0"/>
        </w:rPr>
        <w:t>Lifecycle</w:t>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04"/>
        <w:gridCol w:w="2952"/>
        <w:gridCol w:w="4968"/>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304" w:type="dxa"/>
          </w:tcPr>
          <w:p w14:paraId="00000093">
            <w:pPr>
              <w:keepNext w:val="0"/>
              <w:spacing w:after="0" w:before="0" w:line="259" w:lineRule="auto"/>
              <w:rPr>
                <w:rFonts w:ascii="Helvetica Neue" w:cs="Helvetica Neue" w:eastAsia="Helvetica Neue" w:hAnsi="Helvetica Neue"/>
              </w:rPr>
            </w:pPr>
            <w:r>
              <w:rPr>
                <w:rFonts w:ascii="Helvetica Neue" w:cs="Helvetica Neue" w:eastAsia="Helvetica Neue" w:hAnsi="Helvetica Neue"/>
                <w:b w:val="1"/>
                <w:bCs w:val="1"/>
                <w:color w:val="ffffff"/>
                <w:sz w:val="20"/>
                <w:rtl w:val="0"/>
              </w:rPr>
              <w:t>State or action</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952" w:type="dxa"/>
          </w:tcPr>
          <w:p w14:paraId="00000094">
            <w:pPr>
              <w:keepNext w:val="0"/>
              <w:spacing w:after="0" w:before="0" w:line="259" w:lineRule="auto"/>
              <w:rPr>
                <w:rFonts w:ascii="Helvetica Neue" w:cs="Helvetica Neue" w:eastAsia="Helvetica Neue" w:hAnsi="Helvetica Neue"/>
              </w:rPr>
            </w:pPr>
            <w:r>
              <w:rPr>
                <w:rFonts w:ascii="Helvetica Neue" w:cs="Helvetica Neue" w:eastAsia="Helvetica Neue" w:hAnsi="Helvetica Neue"/>
                <w:b w:val="1"/>
                <w:bCs w:val="1"/>
                <w:color w:val="ffffff"/>
                <w:sz w:val="20"/>
                <w:rtl w:val="0"/>
              </w:rPr>
              <w:t>Responsible person</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968" w:type="dxa"/>
          </w:tcPr>
          <w:p w14:paraId="00000095">
            <w:pPr>
              <w:keepNext w:val="0"/>
              <w:spacing w:after="0" w:before="0" w:line="259" w:lineRule="auto"/>
              <w:rPr>
                <w:rFonts w:ascii="Helvetica Neue" w:cs="Helvetica Neue" w:eastAsia="Helvetica Neue" w:hAnsi="Helvetica Neue"/>
              </w:rPr>
            </w:pPr>
            <w:r>
              <w:rPr>
                <w:rFonts w:ascii="Helvetica Neue" w:cs="Helvetica Neue" w:eastAsia="Helvetica Neue" w:hAnsi="Helvetica Neue"/>
                <w:b w:val="1"/>
                <w:bCs w:val="1"/>
                <w:color w:val="ffffff"/>
                <w:sz w:val="20"/>
                <w:rtl w:val="0"/>
              </w:rPr>
              <w:t>Required behavior</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304" w:type="dxa"/>
          </w:tcPr>
          <w:p w14:paraId="00000096">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Submitted and triaged</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952" w:type="dxa"/>
          </w:tcPr>
          <w:p w14:paraId="00000097">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Duty owner for the destination queue</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4968" w:type="dxa"/>
          </w:tcPr>
          <w:p w14:paraId="00000098">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Issue ID and timestamp saved immediately. Assign the primary owner and expected response time.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304" w:type="dxa"/>
          </w:tcPr>
          <w:p w14:paraId="00000096">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Acknowledged and in progress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952" w:type="dxa"/>
          </w:tcPr>
          <w:p w14:paraId="00000097">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Primary owner; optional collaborators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968" w:type="dxa"/>
          </w:tcPr>
          <w:p w14:paraId="00000098">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Public progress note, next action and expected update. Each collaborator may have a subtask.</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304" w:type="dxa"/>
          </w:tcPr>
          <w:p w14:paraId="00000096">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Waiting</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952" w:type="dxa"/>
          </w:tcPr>
          <w:p w14:paraId="00000097">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Primary owner</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4968" w:type="dxa"/>
          </w:tcPr>
          <w:p w14:paraId="00000098">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State the dependency or requested information. Keep total elapsed time visible. A pause needs a reason.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304" w:type="dxa"/>
          </w:tcPr>
          <w:p w14:paraId="00000096">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Proposed resolved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952" w:type="dxa"/>
          </w:tcPr>
          <w:p w14:paraId="00000097">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Primary owner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968" w:type="dxa"/>
          </w:tcPr>
          <w:p w14:paraId="00000098">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Record what changed, cause if known, completion time and evidence or an explanation when a photo is unsuitable.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304" w:type="dxa"/>
          </w:tcPr>
          <w:p w14:paraId="00000096">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Confirmed closed or reopened</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952" w:type="dxa"/>
          </w:tcPr>
          <w:p w14:paraId="00000097">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Reporter; independent reviewer for disputes</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4968" w:type="dxa"/>
          </w:tcPr>
          <w:p w14:paraId="00000098">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Reporter confirms or explains why it persists. Silence stays “resolved awaiting confirmation”; it never becomes student-confirmed.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304" w:type="dxa"/>
          </w:tcPr>
          <w:p w14:paraId="00000096">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Duplicate or declined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952" w:type="dxa"/>
          </w:tcPr>
          <w:p w14:paraId="00000097">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Authorized owner or moderator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968" w:type="dxa"/>
          </w:tcPr>
          <w:p w14:paraId="00000098">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Link the original or give a reason and appeal route. Preserve the original ID, replies and reporting history.</w:t>
            </w:r>
          </w:p>
        </w:tc>
      </w:tr>
    </w:tbl>
    <w:p w14:paraId="0000003E">
      <w:pPr>
        <w:pStyle w:val="Heading3"/>
        <w:keepNext/>
        <w:pageBreakBefore w:val="0"/>
        <w:spacing w:after="160" w:line="278" w:lineRule="auto" w:before="200"/>
        <w:jc w:val="left"/>
        <w:rPr/>
      </w:pPr>
      <w:r>
        <w:rPr>
          <w:b/>
          <w:color w:val="000000"/>
          <w:sz w:val="22"/>
          <w:rtl w:val="0"/>
        </w:rPr>
        <w:t>Responsibility cannot disappear</w:t>
      </w:r>
    </w:p>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t>• One person remains accountable even with multiple departments involved. Reassignment records old owner, new owner and reason; the previous owner remains responsible until accepted.</w:t>
      </w:r>
    </w:p>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t>• Use campus-set targets by category and severity. Pilot defaults: acknowledge within one working day and post a progress update within three. The campus defines working hours and holidays.</w:t>
      </w:r>
    </w:p>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t>• Overdue issues notify the backup, then escalation contact. Changing owners or merging duplicates does not reset the original clock.</w:t>
      </w:r>
    </w:p>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t>• Support counts show how many students are affected; they do not determine safety priority. A human reviews urgency and any priority changes are logged.</w:t>
      </w:r>
    </w:p>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t>• Reopening creates a new event on the same issue and invalidates its confirmed-resolution status for the knowledge library.</w:t>
      </w:r>
    </w:p>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t>Emergency reports must show the college’s emergency contact and escalation instructions immediately. The app is not an emergency dispatch service; a new queue entry cannot guarantee an urgent response.</w:t>
      </w:r>
    </w:p>
    <w:p w14:paraId="00000026">
      <w:pPr>
        <w:pStyle w:val="Heading1"/>
        <w:keepNext/>
        <w:pageBreakBefore w:val="0"/>
        <w:spacing w:after="160" w:before="200" w:line="278" w:lineRule="auto"/>
        <w:jc w:val="left"/>
        <w:rPr>
          <w:rFonts w:ascii="Helvetica Neue" w:cs="Helvetica Neue" w:eastAsia="Helvetica Neue" w:hAnsi="Helvetica Neue"/>
          <w:color w:val="000000"/>
        </w:rPr>
      </w:pPr>
      <w:r>
        <w:rPr>
          <w:rFonts w:ascii="Helvetica Neue" w:cs="Helvetica Neue" w:eastAsia="Helvetica Neue" w:hAnsi="Helvetica Neue"/>
          <w:color w:val="000000"/>
          <w:sz w:val="27"/>
          <w:rtl w:val="0"/>
        </w:rPr>
        <w:t>4 Questions activities and marketplace</w:t>
      </w:r>
    </w:p>
    <w:p w14:paraId="0000003E">
      <w:pPr>
        <w:pStyle w:val="Heading3"/>
        <w:keepNext/>
        <w:pageBreakBefore w:val="0"/>
        <w:spacing w:after="160" w:line="278" w:lineRule="auto" w:before="200"/>
        <w:jc w:val="left"/>
        <w:rPr/>
      </w:pPr>
      <w:r>
        <w:rPr>
          <w:b/>
          <w:color w:val="000000"/>
          <w:sz w:val="22"/>
          <w:rtl w:val="0"/>
        </w:rPr>
        <w:t>Questions and help</w:t>
      </w:r>
    </w:p>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t>• Post a question to the campus or an approved group. Mention a person or a department, or leave it open for peers. “Broadcast” means visible in that audience, not an email to every member.</w:t>
      </w:r>
    </w:p>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t>• Use threaded replies with one nesting level, useful-answer votes, and an accepted answer. Label staff-authorized answers separately from peer replies and AI suggestions.</w:t>
      </w:r>
    </w:p>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t>• A reply does not change policy. Mark authoritative answers with the responder’s verified role, source and last-reviewed date.</w:t>
      </w:r>
    </w:p>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t>• Convert an unresolved service question to an official issue with the author’s confirmation. Preserve a link to the original discussion and recheck permissions.</w:t>
      </w:r>
    </w:p>
    <w:p w14:paraId="0000003E">
      <w:pPr>
        <w:pStyle w:val="Heading3"/>
        <w:keepNext/>
        <w:pageBreakBefore w:val="0"/>
        <w:spacing w:after="160" w:line="278" w:lineRule="auto" w:before="200"/>
        <w:jc w:val="left"/>
        <w:rPr/>
      </w:pPr>
      <w:r>
        <w:rPr>
          <w:b/>
          <w:color w:val="000000"/>
          <w:sz w:val="22"/>
          <w:rtl w:val="0"/>
        </w:rPr>
        <w:t>Activities and group formation</w:t>
      </w:r>
    </w:p>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t>Support games, study groups, trips, project teams, volunteering and club activities. Record organizer, audience, time, approximate location, capacity, join deadline and any stated cost. Show whether the activity is student-organized or college-approved.</w:t>
      </w:r>
    </w:p>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t>• Participants request to join; the organizer accepts, rejects or waitlists them. Capacity checks must prevent concurrent overbooking. Support leaving and cancellation notifications.</w:t>
      </w:r>
    </w:p>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t>• Expose exact meeting details and contact information only to approved participants when needed. A list of interested students is not a public attendance roster.</w:t>
      </w:r>
    </w:p>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t>• Expire completed activities automatically. Keep a lightweight record for participants; avoid a full social feed, live location tracking or payment collection in the first release.</w:t>
      </w:r>
    </w:p>
    <w:p w14:paraId="0000003E">
      <w:pPr>
        <w:pStyle w:val="Heading3"/>
        <w:keepNext/>
        <w:pageBreakBefore w:val="0"/>
        <w:spacing w:after="160" w:line="278" w:lineRule="auto" w:before="200"/>
        <w:jc w:val="left"/>
        <w:rPr/>
      </w:pPr>
      <w:r>
        <w:rPr>
          <w:b/>
          <w:color w:val="000000"/>
          <w:sz w:val="22"/>
          <w:rtl w:val="0"/>
        </w:rPr>
        <w:t>Marketplace and lost property</w:t>
      </w:r>
    </w:p>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t>Listings contain item, category, condition, price or “free”, images and a pickup area. States: available, reserved, sold, withdrawn or expired. Lost-and-found is a separate listing type with ownership verification handled privately.</w:t>
      </w:r>
    </w:p>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t>• Provide a private asynchronous buyer–seller inquiry thread; both parties can block or report abuse. Do not expose phone numbers by default.</w:t>
      </w:r>
    </w:p>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t>• Keep payments outside the platform in the initial release. State that campus membership does not guarantee the seller or item. Define prohibited items and a report/review process.</w:t>
      </w:r>
    </w:p>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t>• Use a proposed 30-day listing expiry and renewal. Sold items leave the active feed. Preserve reported transactions only as required by the case retention policy.</w:t>
      </w:r>
    </w:p>
    <w:p w14:paraId="0000003E">
      <w:pPr>
        <w:pStyle w:val="Heading3"/>
        <w:keepNext/>
        <w:pageBreakBefore w:val="0"/>
        <w:spacing w:after="160" w:line="278" w:lineRule="auto" w:before="200"/>
        <w:jc w:val="left"/>
        <w:rPr/>
      </w:pPr>
      <w:r>
        <w:rPr>
          <w:b/>
          <w:color w:val="000000"/>
          <w:sz w:val="22"/>
          <w:rtl w:val="0"/>
        </w:rPr>
        <w:t>Notifications and navigation</w:t>
      </w:r>
    </w:p>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t>Home shows relevant issues and pinned official notices, with separate tabs for Questions, Activities and Marketplace. Add My Activity, Resolution Library, Staff Queue and Administration. Send in-app alerts for assignments, mentions, replies and status changes; use optional email digests and urgent owner alerts. Add per-thread mute and group subscriptions.</w:t>
      </w:r>
    </w:p>
    <w:p w14:paraId="00000026">
      <w:pPr>
        <w:pStyle w:val="Heading1"/>
        <w:keepNext/>
        <w:pageBreakBefore w:val="0"/>
        <w:spacing w:after="160" w:before="200" w:line="278" w:lineRule="auto"/>
        <w:jc w:val="left"/>
        <w:rPr>
          <w:rFonts w:ascii="Helvetica Neue" w:cs="Helvetica Neue" w:eastAsia="Helvetica Neue" w:hAnsi="Helvetica Neue"/>
          <w:color w:val="000000"/>
        </w:rPr>
      </w:pPr>
      <w:r>
        <w:rPr>
          <w:rFonts w:ascii="Helvetica Neue" w:cs="Helvetica Neue" w:eastAsia="Helvetica Neue" w:hAnsi="Helvetica Neue"/>
          <w:color w:val="000000"/>
          <w:sz w:val="27"/>
          <w:rtl w:val="0"/>
        </w:rPr>
        <w:t>5 Information to store</w:t>
      </w:r>
    </w:p>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t>These are conceptual records for the next database design step, not a final table schema. Every campus-owned record carries campus_id, a stable ID, timestamps, version and permission scope. Store each reply and event separately so a growing thread never rewrites one oversized record.</w:t>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32"/>
        <w:gridCol w:w="4032"/>
        <w:gridCol w:w="3960"/>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232" w:type="dxa"/>
          </w:tcPr>
          <w:p w14:paraId="00000093">
            <w:pPr>
              <w:keepNext w:val="0"/>
              <w:spacing w:after="0" w:before="0" w:line="259" w:lineRule="auto"/>
              <w:rPr>
                <w:rFonts w:ascii="Helvetica Neue" w:cs="Helvetica Neue" w:eastAsia="Helvetica Neue" w:hAnsi="Helvetica Neue"/>
              </w:rPr>
            </w:pPr>
            <w:r>
              <w:rPr>
                <w:rFonts w:ascii="Helvetica Neue" w:cs="Helvetica Neue" w:eastAsia="Helvetica Neue" w:hAnsi="Helvetica Neue"/>
                <w:b w:val="1"/>
                <w:bCs w:val="1"/>
                <w:color w:val="ffffff"/>
                <w:sz w:val="20"/>
                <w:rtl w:val="0"/>
              </w:rPr>
              <w:t>Record</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032" w:type="dxa"/>
          </w:tcPr>
          <w:p w14:paraId="00000094">
            <w:pPr>
              <w:keepNext w:val="0"/>
              <w:spacing w:after="0" w:before="0" w:line="259" w:lineRule="auto"/>
              <w:rPr>
                <w:rFonts w:ascii="Helvetica Neue" w:cs="Helvetica Neue" w:eastAsia="Helvetica Neue" w:hAnsi="Helvetica Neue"/>
              </w:rPr>
            </w:pPr>
            <w:r>
              <w:rPr>
                <w:rFonts w:ascii="Helvetica Neue" w:cs="Helvetica Neue" w:eastAsia="Helvetica Neue" w:hAnsi="Helvetica Neue"/>
                <w:b w:val="1"/>
                <w:bCs w:val="1"/>
                <w:color w:val="ffffff"/>
                <w:sz w:val="20"/>
                <w:rtl w:val="0"/>
              </w:rPr>
              <w:t>Key information</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960" w:type="dxa"/>
          </w:tcPr>
          <w:p w14:paraId="00000095">
            <w:pPr>
              <w:keepNext w:val="0"/>
              <w:spacing w:after="0" w:before="0" w:line="259" w:lineRule="auto"/>
              <w:rPr>
                <w:rFonts w:ascii="Helvetica Neue" w:cs="Helvetica Neue" w:eastAsia="Helvetica Neue" w:hAnsi="Helvetica Neue"/>
              </w:rPr>
            </w:pPr>
            <w:r>
              <w:rPr>
                <w:rFonts w:ascii="Helvetica Neue" w:cs="Helvetica Neue" w:eastAsia="Helvetica Neue" w:hAnsi="Helvetica Neue"/>
                <w:b w:val="1"/>
                <w:bCs w:val="1"/>
                <w:color w:val="ffffff"/>
                <w:sz w:val="20"/>
                <w:rtl w:val="0"/>
              </w:rPr>
              <w:t>Relationships and rules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232" w:type="dxa"/>
          </w:tcPr>
          <w:p w14:paraId="00000096">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Campus and unit</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4032" w:type="dxa"/>
          </w:tcPr>
          <w:p w14:paraId="00000097">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Name, approved domains, timezone, policy version, unit type, contacts</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960" w:type="dxa"/>
          </w:tcPr>
          <w:p w14:paraId="00000098">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Campus has hostels, departments, clubs and service teams.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232" w:type="dxa"/>
          </w:tcPr>
          <w:p w14:paraId="00000096">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User and membership</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032" w:type="dxa"/>
          </w:tcPr>
          <w:p w14:paraId="00000097">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Auth ID, display name, verified email; group, role, approval and expiry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60" w:type="dxa"/>
          </w:tcPr>
          <w:p w14:paraId="00000098">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Multiple memberships per user. Store no passwords in the app database.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232" w:type="dxa"/>
          </w:tcPr>
          <w:p w14:paraId="00000096">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Invitation and role grant</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4032" w:type="dxa"/>
          </w:tcPr>
          <w:p w14:paraId="00000097">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Email, campus, allowed role, inviter, expiry, used time</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960" w:type="dxa"/>
          </w:tcPr>
          <w:p w14:paraId="00000098">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Single-use token; privileged grants auditable and revocable.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232" w:type="dxa"/>
          </w:tcPr>
          <w:p w14:paraId="00000096">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Post and audience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032" w:type="dxa"/>
          </w:tcPr>
          <w:p w14:paraId="00000097">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Type, title, body, category, location, author, visibility, selected groups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60" w:type="dxa"/>
          </w:tcPr>
          <w:p w14:paraId="00000098">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Common base for issues, questions, activities and listings.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232" w:type="dxa"/>
          </w:tcPr>
          <w:p w14:paraId="00000096">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Issue and assignment</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4032" w:type="dxa"/>
          </w:tcPr>
          <w:p w14:paraId="00000097">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Status, primary owner, collaborators, urgency, due times, duplicate link</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960" w:type="dxa"/>
          </w:tcPr>
          <w:p w14:paraId="00000098">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Exactly one primary owner; keep assignment and transition history.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232" w:type="dxa"/>
          </w:tcPr>
          <w:p w14:paraId="00000096">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Reply and revision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032" w:type="dxa"/>
          </w:tcPr>
          <w:p w14:paraId="00000097">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Post ID, parent reply ID, author, body, visibility, edited time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60" w:type="dxa"/>
          </w:tcPr>
          <w:p w14:paraId="00000098">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One reply level. Revision trail; separate restricted staff notes.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232" w:type="dxa"/>
          </w:tcPr>
          <w:p w14:paraId="00000096">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Attachment</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4032" w:type="dxa"/>
          </w:tcPr>
          <w:p w14:paraId="00000097">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Object key, owner, parent record, bytes, MIME, hash, scan and retention state</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960" w:type="dxa"/>
          </w:tcPr>
          <w:p w14:paraId="00000098">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File metadata in database; content in private object storage.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232" w:type="dxa"/>
          </w:tcPr>
          <w:p w14:paraId="00000096">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Resolution and knowledge entry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032" w:type="dxa"/>
          </w:tcPr>
          <w:p w14:paraId="00000097">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Cause, action, outcome, confirmer, source IDs, review date, access scope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60" w:type="dxa"/>
          </w:tcPr>
          <w:p w14:paraId="00000098">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Reviewed knowledge derived from completed issues; revocable.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232" w:type="dxa"/>
          </w:tcPr>
          <w:p w14:paraId="00000096">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Support and subscription</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4032" w:type="dxa"/>
          </w:tcPr>
          <w:p w14:paraId="00000097">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Post ID, member ID, action, notification preference</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960" w:type="dxa"/>
          </w:tcPr>
          <w:p w14:paraId="00000098">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One support per person per issue. Duplicate merge preserves distinct supporters.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232" w:type="dxa"/>
          </w:tcPr>
          <w:p w14:paraId="00000096">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Activity and participation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032" w:type="dxa"/>
          </w:tcPr>
          <w:p w14:paraId="00000097">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Time, place, seats, organizer; member, join state, waitlist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60" w:type="dxa"/>
          </w:tcPr>
          <w:p w14:paraId="00000098">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Capacity updates and acceptance must be atomic.</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232" w:type="dxa"/>
          </w:tcPr>
          <w:p w14:paraId="00000096">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Listing and inquiry</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4032" w:type="dxa"/>
          </w:tcPr>
          <w:p w14:paraId="00000097">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Item, condition, price, state; participants and messages</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960" w:type="dxa"/>
          </w:tcPr>
          <w:p w14:paraId="00000098">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Only the seller and inquiry participants can read coordination.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232" w:type="dxa"/>
          </w:tcPr>
          <w:p w14:paraId="00000096">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Notification and delivery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032" w:type="dxa"/>
          </w:tcPr>
          <w:p w14:paraId="00000097">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Recipient, source event, channel, state, retry count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60" w:type="dxa"/>
          </w:tcPr>
          <w:p w14:paraId="00000098">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Deduplicate deliveries; recheck access before rendering previews.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232" w:type="dxa"/>
          </w:tcPr>
          <w:p w14:paraId="00000096">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Audit and moderation case</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4032" w:type="dxa"/>
          </w:tcPr>
          <w:p w14:paraId="00000097">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Actor, action, record ID, reason, previous/new state, reviewer</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960" w:type="dxa"/>
          </w:tcPr>
          <w:p w14:paraId="00000098">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Append events; retain appeal decisions and controlled redactions.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232" w:type="dxa"/>
          </w:tcPr>
          <w:p w14:paraId="00000096">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Usage and AI run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032" w:type="dxa"/>
          </w:tcPr>
          <w:p w14:paraId="00000097">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Campus, feature, model, tokens, duration, estimate, source versions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60" w:type="dxa"/>
          </w:tcPr>
          <w:p w14:paraId="00000098">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Track quotas and cost without logging raw sensitive prompts.</w:t>
            </w:r>
          </w:p>
        </w:tc>
      </w:tr>
    </w:tbl>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t>Before selecting database indexes, define queries for permitted feeds, unit queues, overdue issues, user activity, replies by post, upcoming activities and approved historical resolutions. Avoid full-database scans. A campus export must include structured records and permitted file references.</w:t>
      </w:r>
    </w:p>
    <w:p w14:paraId="00000026">
      <w:pPr>
        <w:pStyle w:val="Heading1"/>
        <w:keepNext/>
        <w:pageBreakBefore w:val="0"/>
        <w:spacing w:after="160" w:before="200" w:line="278" w:lineRule="auto"/>
        <w:jc w:val="left"/>
        <w:rPr>
          <w:rFonts w:ascii="Helvetica Neue" w:cs="Helvetica Neue" w:eastAsia="Helvetica Neue" w:hAnsi="Helvetica Neue"/>
          <w:color w:val="000000"/>
        </w:rPr>
      </w:pPr>
      <w:r>
        <w:rPr>
          <w:rFonts w:ascii="Helvetica Neue" w:cs="Helvetica Neue" w:eastAsia="Helvetica Neue" w:hAnsi="Helvetica Neue"/>
          <w:color w:val="000000"/>
          <w:sz w:val="27"/>
          <w:rtl w:val="0"/>
        </w:rPr>
        <w:t>6 Files history and accountable moderation</w:t>
      </w:r>
    </w:p>
    <w:p w14:paraId="0000003E">
      <w:pPr>
        <w:pStyle w:val="Heading3"/>
        <w:keepNext/>
        <w:pageBreakBefore w:val="0"/>
        <w:spacing w:after="160" w:line="278" w:lineRule="auto" w:before="200"/>
        <w:jc w:val="left"/>
        <w:rPr/>
      </w:pPr>
      <w:r>
        <w:rPr>
          <w:b/>
          <w:color w:val="000000"/>
          <w:sz w:val="22"/>
          <w:rtl w:val="0"/>
        </w:rPr>
        <w:t>File handling</w:t>
      </w:r>
    </w:p>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t>• Use private S3 storage with authorized, short-lived upload and download links. Do not store public bucket URLs or permanent download links in posts.</w:t>
      </w:r>
    </w:p>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t>• Initial allowance: JPEG, PNG and PDF; up to 5 MB each and three files per post. Compress images, generate thumbnails and strip location metadata. Defer video uploads.</w:t>
      </w:r>
    </w:p>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t>• Validate the actual file format and size; quarantine uploads until security checks complete. PDFs require malware scanning before a real pilot. Unchecked files stay inaccessible.</w:t>
      </w:r>
    </w:p>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t>• Store originals and derived thumbnails under the same access policy. Keep originals for evidence; label derived copies. Remove abandoned uploads after 24 hours.</w:t>
      </w:r>
    </w:p>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t>• Deletion and permission changes must invalidate derived previews, search entries, AI context and caches. Already downloaded copies cannot be recalled; short link expiry reduces further exposure.</w:t>
      </w:r>
    </w:p>
    <w:p w14:paraId="0000003E">
      <w:pPr>
        <w:pStyle w:val="Heading3"/>
        <w:keepNext/>
        <w:pageBreakBefore w:val="0"/>
        <w:spacing w:after="160" w:line="278" w:lineRule="auto" w:before="200"/>
        <w:jc w:val="left"/>
        <w:rPr/>
      </w:pPr>
      <w:r>
        <w:rPr>
          <w:b/>
          <w:color w:val="000000"/>
          <w:sz w:val="22"/>
          <w:rtl w:val="0"/>
        </w:rPr>
        <w:t>History that can be trusted</w:t>
      </w:r>
    </w:p>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t>Every issue shows submission, ownership, progress, target changes, escalation, proposed resolution, confirmation and reopening. Record actor and time for every change. Edits show an “edited” label; consequential staff decisions keep their prior versions available to authorized viewers.</w:t>
      </w:r>
    </w:p>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t>Moderators may restrict abusive content or private information using published rules. Record the reason, actor and appeal route. Keep a redacted placeholder where appropriate so deletion cannot silently make an unresolved issue disappear. An appeal reviewer must not be the subject of the complaint.</w:t>
      </w:r>
    </w:p>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t>Raw sensitive evidence does not become public in the name of transparency. Publish redacted outcomes and aggregate service metrics. Privileged database operators still have technical power: use restricted access, separate audit storage and periodic exports to make tampering harder to conceal, without claiming absolute immutability.</w:t>
      </w:r>
    </w:p>
    <w:p w14:paraId="0000003E">
      <w:pPr>
        <w:pStyle w:val="Heading3"/>
        <w:keepNext/>
        <w:pageBreakBefore w:val="0"/>
        <w:spacing w:after="160" w:line="278" w:lineRule="auto" w:before="200"/>
        <w:jc w:val="left"/>
        <w:rPr/>
      </w:pPr>
      <w:r>
        <w:rPr>
          <w:b/>
          <w:color w:val="000000"/>
          <w:sz w:val="22"/>
          <w:rtl w:val="0"/>
        </w:rPr>
        <w:t>Proposed retention defaults</w:t>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592"/>
        <w:gridCol w:w="2880"/>
        <w:gridCol w:w="4752"/>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592" w:type="dxa"/>
          </w:tcPr>
          <w:p w14:paraId="00000093">
            <w:pPr>
              <w:keepNext w:val="0"/>
              <w:spacing w:after="0" w:before="0" w:line="259" w:lineRule="auto"/>
              <w:rPr>
                <w:rFonts w:ascii="Helvetica Neue" w:cs="Helvetica Neue" w:eastAsia="Helvetica Neue" w:hAnsi="Helvetica Neue"/>
              </w:rPr>
            </w:pPr>
            <w:r>
              <w:rPr>
                <w:rFonts w:ascii="Helvetica Neue" w:cs="Helvetica Neue" w:eastAsia="Helvetica Neue" w:hAnsi="Helvetica Neue"/>
                <w:b w:val="1"/>
                <w:bCs w:val="1"/>
                <w:color w:val="ffffff"/>
                <w:sz w:val="20"/>
                <w:rtl w:val="0"/>
              </w:rPr>
              <w:t>Information</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880" w:type="dxa"/>
          </w:tcPr>
          <w:p w14:paraId="00000094">
            <w:pPr>
              <w:keepNext w:val="0"/>
              <w:spacing w:after="0" w:before="0" w:line="259" w:lineRule="auto"/>
              <w:rPr>
                <w:rFonts w:ascii="Helvetica Neue" w:cs="Helvetica Neue" w:eastAsia="Helvetica Neue" w:hAnsi="Helvetica Neue"/>
              </w:rPr>
            </w:pPr>
            <w:r>
              <w:rPr>
                <w:rFonts w:ascii="Helvetica Neue" w:cs="Helvetica Neue" w:eastAsia="Helvetica Neue" w:hAnsi="Helvetica Neue"/>
                <w:b w:val="1"/>
                <w:bCs w:val="1"/>
                <w:color w:val="ffffff"/>
                <w:sz w:val="20"/>
                <w:rtl w:val="0"/>
              </w:rPr>
              <w:t>Initial retention</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752" w:type="dxa"/>
          </w:tcPr>
          <w:p w14:paraId="00000095">
            <w:pPr>
              <w:keepNext w:val="0"/>
              <w:spacing w:after="0" w:before="0" w:line="259" w:lineRule="auto"/>
              <w:rPr>
                <w:rFonts w:ascii="Helvetica Neue" w:cs="Helvetica Neue" w:eastAsia="Helvetica Neue" w:hAnsi="Helvetica Neue"/>
              </w:rPr>
            </w:pPr>
            <w:r>
              <w:rPr>
                <w:rFonts w:ascii="Helvetica Neue" w:cs="Helvetica Neue" w:eastAsia="Helvetica Neue" w:hAnsi="Helvetica Neue"/>
                <w:b w:val="1"/>
                <w:bCs w:val="1"/>
                <w:color w:val="ffffff"/>
                <w:sz w:val="20"/>
                <w:rtl w:val="0"/>
              </w:rPr>
              <w:t>Treatment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592" w:type="dxa"/>
          </w:tcPr>
          <w:p w14:paraId="00000096">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Ordinary issues and replies</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880" w:type="dxa"/>
          </w:tcPr>
          <w:p w14:paraId="00000097">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24 months after closure</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4752" w:type="dxa"/>
          </w:tcPr>
          <w:p w14:paraId="00000098">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Retain redacted resolution knowledge if still relevant.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592" w:type="dxa"/>
          </w:tcPr>
          <w:p w14:paraId="00000096">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Routine attachments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880" w:type="dxa"/>
          </w:tcPr>
          <w:p w14:paraId="00000097">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12 months after closure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752" w:type="dxa"/>
          </w:tcPr>
          <w:p w14:paraId="00000098">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Then delete content and record the deletion event.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592" w:type="dxa"/>
          </w:tcPr>
          <w:p w14:paraId="00000096">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Activity and marketplace data</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880" w:type="dxa"/>
          </w:tcPr>
          <w:p w14:paraId="00000097">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90 days after completion or expiry</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4752" w:type="dxa"/>
          </w:tcPr>
          <w:p w14:paraId="00000098">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Remove participant/contact details; keep minimal aggregate counts.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592" w:type="dxa"/>
          </w:tcPr>
          <w:p w14:paraId="00000096">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Operational logs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880" w:type="dxa"/>
          </w:tcPr>
          <w:p w14:paraId="00000097">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30 days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752" w:type="dxa"/>
          </w:tcPr>
          <w:p w14:paraId="00000098">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Exclude complaint bodies, tokens, credentials and uploaded documents.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592" w:type="dxa"/>
          </w:tcPr>
          <w:p w14:paraId="00000096">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Audit events</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880" w:type="dxa"/>
          </w:tcPr>
          <w:p w14:paraId="00000097">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24 months</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4752" w:type="dxa"/>
          </w:tcPr>
          <w:p w14:paraId="00000098">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Restrict access; avoid retaining removed sensitive text inside old event payloads.</w:t>
            </w:r>
          </w:p>
        </w:tc>
      </w:tr>
    </w:tbl>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t>The college must approve these defaults before launch, including rules for sensitive cases, consent, appeals, backup expiry and necessary preservation holds. Retention values are product proposals, not a legal compliance claim.</w:t>
      </w:r>
    </w:p>
    <w:p w14:paraId="00000026">
      <w:pPr>
        <w:pStyle w:val="Heading1"/>
        <w:keepNext/>
        <w:pageBreakBefore w:val="0"/>
        <w:spacing w:after="160" w:before="200" w:line="278" w:lineRule="auto"/>
        <w:jc w:val="left"/>
        <w:rPr>
          <w:rFonts w:ascii="Helvetica Neue" w:cs="Helvetica Neue" w:eastAsia="Helvetica Neue" w:hAnsi="Helvetica Neue"/>
          <w:color w:val="000000"/>
        </w:rPr>
      </w:pPr>
      <w:r>
        <w:rPr>
          <w:rFonts w:ascii="Helvetica Neue" w:cs="Helvetica Neue" w:eastAsia="Helvetica Neue" w:hAnsi="Helvetica Neue"/>
          <w:color w:val="000000"/>
          <w:sz w:val="27"/>
          <w:rtl w:val="0"/>
        </w:rPr>
        <w:t>7 AI for past resolutions</w:t>
      </w:r>
    </w:p>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t>Use a managed model through Amazon Bedrock. No model training or dedicated GPU server is required for the initial product. Evaluate a small Amazon Nova model available in the chosen region; lock its model ID, price and inference location only after checking account access and sample quality. [1][2]</w:t>
      </w:r>
    </w:p>
    <w:p w14:paraId="0000003E">
      <w:pPr>
        <w:pStyle w:val="Heading3"/>
        <w:keepNext/>
        <w:pageBreakBefore w:val="0"/>
        <w:spacing w:after="160" w:line="278" w:lineRule="auto" w:before="200"/>
        <w:jc w:val="left"/>
        <w:rPr/>
      </w:pPr>
      <w:r>
        <w:rPr>
          <w:b/>
          <w:color w:val="000000"/>
          <w:sz w:val="22"/>
          <w:rtl w:val="0"/>
        </w:rPr>
        <w:t>The first useful AI feature</w:t>
      </w:r>
    </w:p>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t>When someone reports an issue, retrieve relevant completed cases they are allowed to see. Show the original issue links and summarize what worked, which team handled it, and when. This is retrieval-augmented generation: we supply authorized history to the model for that request; the model is not the permanent record.</w:t>
      </w:r>
    </w:p>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t>• Store structured resolution cards: symptom, affected service, cause, corrective action, outcome, source issue and evidence references, confirmation, reviewer and last-reviewed date.</w:t>
      </w:r>
    </w:p>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t>• Begin with category, location, unit and keyword matching over a bounded set of reviewed cases. Add embeddings and a vector index only when evaluation shows that simple retrieval misses useful matches.</w:t>
      </w:r>
    </w:p>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t>• Retrieve and authorize before sending context to Bedrock. Filter by campus and permitted groups; recheck record permissions. A prompt saying “respect privacy” is not access control. [3]</w:t>
      </w:r>
    </w:p>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t>• Generated answers must cite source issue IDs and dates. If there is no useful precedent, say so. Show uncertain or conflicting resolutions rather than inventing a recommendation.</w:t>
      </w:r>
    </w:p>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t>• A reopened, corrected, deleted or newly restricted case is immediately ineligible for new suggestions. Invalidate cached answers using source versions and permission changes.</w:t>
      </w:r>
    </w:p>
    <w:p w14:paraId="0000003E">
      <w:pPr>
        <w:pStyle w:val="Heading3"/>
        <w:keepNext/>
        <w:pageBreakBefore w:val="0"/>
        <w:spacing w:after="160" w:line="278" w:lineRule="auto" w:before="200"/>
        <w:jc w:val="left"/>
        <w:rPr/>
      </w:pPr>
      <w:r>
        <w:rPr>
          <w:b/>
          <w:color w:val="000000"/>
          <w:sz w:val="22"/>
          <w:rtl w:val="0"/>
        </w:rPr>
        <w:t>What AI may and may not do</w:t>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880"/>
        <w:gridCol w:w="3816"/>
        <w:gridCol w:w="3528"/>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880" w:type="dxa"/>
          </w:tcPr>
          <w:p w14:paraId="00000093">
            <w:pPr>
              <w:keepNext w:val="0"/>
              <w:spacing w:after="0" w:before="0" w:line="259" w:lineRule="auto"/>
              <w:rPr>
                <w:rFonts w:ascii="Helvetica Neue" w:cs="Helvetica Neue" w:eastAsia="Helvetica Neue" w:hAnsi="Helvetica Neue"/>
              </w:rPr>
            </w:pPr>
            <w:r>
              <w:rPr>
                <w:rFonts w:ascii="Helvetica Neue" w:cs="Helvetica Neue" w:eastAsia="Helvetica Neue" w:hAnsi="Helvetica Neue"/>
                <w:b w:val="1"/>
                <w:bCs w:val="1"/>
                <w:color w:val="ffffff"/>
                <w:sz w:val="20"/>
                <w:rtl w:val="0"/>
              </w:rPr>
              <w:t>Use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816" w:type="dxa"/>
          </w:tcPr>
          <w:p w14:paraId="00000094">
            <w:pPr>
              <w:keepNext w:val="0"/>
              <w:spacing w:after="0" w:before="0" w:line="259" w:lineRule="auto"/>
              <w:rPr>
                <w:rFonts w:ascii="Helvetica Neue" w:cs="Helvetica Neue" w:eastAsia="Helvetica Neue" w:hAnsi="Helvetica Neue"/>
              </w:rPr>
            </w:pPr>
            <w:r>
              <w:rPr>
                <w:rFonts w:ascii="Helvetica Neue" w:cs="Helvetica Neue" w:eastAsia="Helvetica Neue" w:hAnsi="Helvetica Neue"/>
                <w:b w:val="1"/>
                <w:bCs w:val="1"/>
                <w:color w:val="ffffff"/>
                <w:sz w:val="20"/>
                <w:rtl w:val="0"/>
              </w:rPr>
              <w:t>Decision authority</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528" w:type="dxa"/>
          </w:tcPr>
          <w:p w14:paraId="00000095">
            <w:pPr>
              <w:keepNext w:val="0"/>
              <w:spacing w:after="0" w:before="0" w:line="259" w:lineRule="auto"/>
              <w:rPr>
                <w:rFonts w:ascii="Helvetica Neue" w:cs="Helvetica Neue" w:eastAsia="Helvetica Neue" w:hAnsi="Helvetica Neue"/>
              </w:rPr>
            </w:pPr>
            <w:r>
              <w:rPr>
                <w:rFonts w:ascii="Helvetica Neue" w:cs="Helvetica Neue" w:eastAsia="Helvetica Neue" w:hAnsi="Helvetica Neue"/>
                <w:b w:val="1"/>
                <w:bCs w:val="1"/>
                <w:color w:val="ffffff"/>
                <w:sz w:val="20"/>
                <w:rtl w:val="0"/>
              </w:rPr>
              <w:t>Failure behavior</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880" w:type="dxa"/>
          </w:tcPr>
          <w:p w14:paraId="00000096">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Suggest topic or responsible unit</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816" w:type="dxa"/>
          </w:tcPr>
          <w:p w14:paraId="00000097">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User or triage owner confirms</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528" w:type="dxa"/>
          </w:tcPr>
          <w:p w14:paraId="00000098">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Manual selection always works.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880" w:type="dxa"/>
          </w:tcPr>
          <w:p w14:paraId="00000096">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Suggest duplicate issues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16" w:type="dxa"/>
          </w:tcPr>
          <w:p w14:paraId="00000097">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User or staff confirms linkage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528" w:type="dxa"/>
          </w:tcPr>
          <w:p w14:paraId="00000098">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Keep separate reports if uncertain.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880" w:type="dxa"/>
          </w:tcPr>
          <w:p w14:paraId="00000096">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Summarize approved history</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816" w:type="dxa"/>
          </w:tcPr>
          <w:p w14:paraId="00000097">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Reader sees sources; staff approves action</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528" w:type="dxa"/>
          </w:tcPr>
          <w:p w14:paraId="00000098">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Return original search results if model fails.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880" w:type="dxa"/>
          </w:tcPr>
          <w:p w14:paraId="00000096">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Draft an answer or resolution note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16" w:type="dxa"/>
          </w:tcPr>
          <w:p w14:paraId="00000097">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Verified staff reviews and publishes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528" w:type="dxa"/>
          </w:tcPr>
          <w:p w14:paraId="00000098">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AI text remains visibly a draft.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880" w:type="dxa"/>
          </w:tcPr>
          <w:p w14:paraId="00000096">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Close, delete, punish or widen visibility</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816" w:type="dxa"/>
          </w:tcPr>
          <w:p w14:paraId="00000097">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Never delegated to the model</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528" w:type="dxa"/>
          </w:tcPr>
          <w:p w14:paraId="00000098">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Application permissions control all actions.</w:t>
            </w:r>
          </w:p>
        </w:tc>
      </w:tr>
    </w:tbl>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t>Treat uploaded content and past replies as untrusted evidence, never instructions to the model. Do not let the model execute tools in this first version. Keep sensitive welfare cases out of AI processing initially; an explicitly approved redacted knowledge entry can be added later.</w:t>
      </w:r>
    </w:p>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t>Evaluate at least 30 labelled cases plus adversarial access tests. Pilot targets: at least 90% correct routing suggestions, source links for every historical claim, and zero unauthorized records exposed. These are acceptance targets, not achieved results. Core workflows must remain usable with AI disabled.</w:t>
      </w:r>
    </w:p>
    <w:p w14:paraId="00000026">
      <w:pPr>
        <w:pStyle w:val="Heading1"/>
        <w:keepNext/>
        <w:pageBreakBefore w:val="0"/>
        <w:spacing w:after="160" w:before="200" w:line="278" w:lineRule="auto"/>
        <w:jc w:val="left"/>
        <w:rPr>
          <w:rFonts w:ascii="Helvetica Neue" w:cs="Helvetica Neue" w:eastAsia="Helvetica Neue" w:hAnsi="Helvetica Neue"/>
          <w:color w:val="000000"/>
        </w:rPr>
      </w:pPr>
      <w:r>
        <w:rPr>
          <w:rFonts w:ascii="Helvetica Neue" w:cs="Helvetica Neue" w:eastAsia="Helvetica Neue" w:hAnsi="Helvetica Neue"/>
          <w:color w:val="000000"/>
          <w:sz w:val="27"/>
          <w:rtl w:val="0"/>
        </w:rPr>
        <w:t>8 AWS direction and running cost</w:t>
      </w:r>
    </w:p>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t>Proposed low-traffic setup: static web hosting; Cognito for login; API Gateway HTTP API and Lambda for application requests; DynamoDB for records; private S3 for files; scheduled background jobs for reminders and expiry; Bedrock for optional suggestions. Final architecture and regional pricing belong in the next design step. [1][4][5][6][7][8]</w:t>
      </w:r>
    </w:p>
    <w:p w14:paraId="0000003E">
      <w:pPr>
        <w:pStyle w:val="Heading3"/>
        <w:keepNext/>
        <w:pageBreakBefore w:val="0"/>
        <w:spacing w:after="160" w:line="278" w:lineRule="auto" w:before="200"/>
        <w:jc w:val="left"/>
        <w:rPr/>
      </w:pPr>
      <w:r>
        <w:rPr>
          <w:b/>
          <w:color w:val="000000"/>
          <w:sz w:val="22"/>
          <w:rtl w:val="0"/>
        </w:rPr>
        <w:t>Explicit pilot workload</w:t>
      </w:r>
    </w:p>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t>Cost planning assumption: one campus, 1,000 monthly active users, 2,000 new posts, 10,000 replies, 300,000 API requests, 10 GB retained files, 20 GB monthly outbound data, 5,000 email messages and 2,000 AI calls per month. Traffic spikes, scans, backups and retries must be included when estimating the actual bill.</w:t>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240"/>
        <w:gridCol w:w="936"/>
        <w:gridCol w:w="6048"/>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240" w:type="dxa"/>
          </w:tcPr>
          <w:p w14:paraId="00000093">
            <w:pPr>
              <w:keepNext w:val="0"/>
              <w:spacing w:after="0" w:before="0" w:line="259" w:lineRule="auto"/>
              <w:rPr>
                <w:rFonts w:ascii="Helvetica Neue" w:cs="Helvetica Neue" w:eastAsia="Helvetica Neue" w:hAnsi="Helvetica Neue"/>
              </w:rPr>
            </w:pPr>
            <w:r>
              <w:rPr>
                <w:rFonts w:ascii="Helvetica Neue" w:cs="Helvetica Neue" w:eastAsia="Helvetica Neue" w:hAnsi="Helvetica Neue"/>
                <w:b w:val="1"/>
                <w:bCs w:val="1"/>
                <w:color w:val="ffffff"/>
                <w:sz w:val="20"/>
                <w:rtl w:val="0"/>
              </w:rPr>
              <w:t>Monthly planning allowance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936" w:type="dxa"/>
          </w:tcPr>
          <w:p w14:paraId="00000094">
            <w:pPr>
              <w:keepNext w:val="0"/>
              <w:spacing w:after="0" w:before="0" w:line="259" w:lineRule="auto"/>
              <w:rPr>
                <w:rFonts w:ascii="Helvetica Neue" w:cs="Helvetica Neue" w:eastAsia="Helvetica Neue" w:hAnsi="Helvetica Neue"/>
              </w:rPr>
            </w:pPr>
            <w:r>
              <w:rPr>
                <w:rFonts w:ascii="Helvetica Neue" w:cs="Helvetica Neue" w:eastAsia="Helvetica Neue" w:hAnsi="Helvetica Neue"/>
                <w:b w:val="1"/>
                <w:bCs w:val="1"/>
                <w:color w:val="ffffff"/>
                <w:sz w:val="20"/>
                <w:rtl w:val="0"/>
              </w:rPr>
              <w:t>USD</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6048" w:type="dxa"/>
          </w:tcPr>
          <w:p w14:paraId="00000095">
            <w:pPr>
              <w:keepNext w:val="0"/>
              <w:spacing w:after="0" w:before="0" w:line="259" w:lineRule="auto"/>
              <w:rPr>
                <w:rFonts w:ascii="Helvetica Neue" w:cs="Helvetica Neue" w:eastAsia="Helvetica Neue" w:hAnsi="Helvetica Neue"/>
              </w:rPr>
            </w:pPr>
            <w:r>
              <w:rPr>
                <w:rFonts w:ascii="Helvetica Neue" w:cs="Helvetica Neue" w:eastAsia="Helvetica Neue" w:hAnsi="Helvetica Neue"/>
                <w:b w:val="1"/>
                <w:bCs w:val="1"/>
                <w:color w:val="ffffff"/>
                <w:sz w:val="20"/>
                <w:rtl w:val="0"/>
              </w:rPr>
              <w:t>Coverage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240" w:type="dxa"/>
          </w:tcPr>
          <w:p w14:paraId="00000096">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Hosting and outbound traffic</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936" w:type="dxa"/>
          </w:tcPr>
          <w:p w14:paraId="00000097">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10</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6048" w:type="dxa"/>
          </w:tcPr>
          <w:p w14:paraId="00000098">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Static assets, image delivery and build activity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240" w:type="dxa"/>
          </w:tcPr>
          <w:p w14:paraId="00000096">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Application and records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936" w:type="dxa"/>
          </w:tcPr>
          <w:p w14:paraId="00000097">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10</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6048" w:type="dxa"/>
          </w:tcPr>
          <w:p w14:paraId="00000098">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API, functions, database, scheduled work and backups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240" w:type="dxa"/>
          </w:tcPr>
          <w:p w14:paraId="00000096">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Storage logs and email</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936" w:type="dxa"/>
          </w:tcPr>
          <w:p w14:paraId="00000097">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10</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6048" w:type="dxa"/>
          </w:tcPr>
          <w:p w14:paraId="00000098">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Files, logs, delivery and upload-check reserve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240" w:type="dxa"/>
          </w:tcPr>
          <w:p w14:paraId="00000096">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AI</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936" w:type="dxa"/>
          </w:tcPr>
          <w:p w14:paraId="00000097">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5</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6048" w:type="dxa"/>
          </w:tcPr>
          <w:p w14:paraId="00000098">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Bounded optional model usage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240" w:type="dxa"/>
          </w:tcPr>
          <w:p w14:paraId="00000096">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Contingency</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936" w:type="dxa"/>
          </w:tcPr>
          <w:p w14:paraId="00000097">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15</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6048" w:type="dxa"/>
          </w:tcPr>
          <w:p w14:paraId="00000098">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Growth, retries and unpriced small components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240" w:type="dxa"/>
          </w:tcPr>
          <w:p w14:paraId="00000096">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Pilot budget target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936" w:type="dxa"/>
          </w:tcPr>
          <w:p w14:paraId="00000097">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50</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6048" w:type="dxa"/>
          </w:tcPr>
          <w:p w14:paraId="00000098">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Planning target only; validate with regional calculator and a measured trial</w:t>
            </w:r>
          </w:p>
        </w:tc>
      </w:tr>
    </w:tbl>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t>This allocation is not an AWS quote or measured forecast. It excludes tax, domain purchase, staff time, paid support, payment processing and a dedicated search cluster. No hackathon credits are deducted. At larger scale, re-estimate from measured requests, storage, transfer and AI tokens rather than multiplying user count alone.</w:t>
      </w:r>
    </w:p>
    <w:p w14:paraId="0000003E">
      <w:pPr>
        <w:pStyle w:val="Heading3"/>
        <w:keepNext/>
        <w:pageBreakBefore w:val="0"/>
        <w:spacing w:after="160" w:line="278" w:lineRule="auto" w:before="200"/>
        <w:jc w:val="left"/>
        <w:rPr/>
      </w:pPr>
      <w:r>
        <w:rPr>
          <w:b/>
          <w:color w:val="000000"/>
          <w:sz w:val="22"/>
          <w:rtl w:val="0"/>
        </w:rPr>
        <w:t>Controls that keep costs predictable</w:t>
      </w:r>
    </w:p>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t>• Use paginated indexed queries, small thumbnails and static-page caching. Poll only visible screens at a modest interval; avoid permanently connected live chat in the first version.</w:t>
      </w:r>
    </w:p>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t>• Use on-demand compute and database capacity. Avoid a dedicated GPU, provisioned AI throughput, always-on search cluster, NAT gateway or Kubernetes cluster unless an actual requirement justifies it.</w:t>
      </w:r>
    </w:p>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t>• Limit AI to explicit requests or one queued analysis per submitted issue. Cache by source version and audience. Cap context length, output length, retries and per-user usage.</w:t>
      </w:r>
    </w:p>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t>• Example token load: 2,000 calls × 2,500 input tokens = 5 million input tokens; × 500 output tokens = 1 million output tokens. Model bill = 5 × input price per million + 1 × output price per million, plus optional retrieval charges. [1]</w:t>
      </w:r>
    </w:p>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t>• Cognito Lite and Essentials currently offer 10,000 direct/social MAUs free per account or organization; federation and messaging differ. Do not assume each campus gets its own separate allowance. [4]</w:t>
      </w:r>
    </w:p>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t>• Set spend alerts at 50%, 80% and 100% of budget. Budget alerts are delayed, not hard spending caps. Add application quotas, throttling and an AI off switch; preserve basic issue access when AI is paused. [9]</w:t>
      </w:r>
    </w:p>
    <w:p w14:paraId="00000026">
      <w:pPr>
        <w:pStyle w:val="Heading1"/>
        <w:keepNext/>
        <w:pageBreakBefore w:val="0"/>
        <w:spacing w:after="160" w:before="200" w:line="278" w:lineRule="auto"/>
        <w:jc w:val="left"/>
        <w:rPr>
          <w:rFonts w:ascii="Helvetica Neue" w:cs="Helvetica Neue" w:eastAsia="Helvetica Neue" w:hAnsi="Helvetica Neue"/>
          <w:color w:val="000000"/>
        </w:rPr>
      </w:pPr>
      <w:r>
        <w:rPr>
          <w:rFonts w:ascii="Helvetica Neue" w:cs="Helvetica Neue" w:eastAsia="Helvetica Neue" w:hAnsi="Helvetica Neue"/>
          <w:color w:val="000000"/>
          <w:sz w:val="27"/>
          <w:rtl w:val="0"/>
        </w:rPr>
        <w:t>9 Risks and credibility checks</w:t>
      </w:r>
    </w:p>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t>Ratings below are qualitative pilot estimates. Likelihood reflects an unmitigated launch; remaining risk must be reviewed after tests and real campus feedback.</w:t>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2"/>
        <w:gridCol w:w="1008"/>
        <w:gridCol w:w="6264"/>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952" w:type="dxa"/>
          </w:tcPr>
          <w:p w14:paraId="00000093">
            <w:pPr>
              <w:keepNext w:val="0"/>
              <w:spacing w:after="0" w:before="0" w:line="259" w:lineRule="auto"/>
              <w:rPr>
                <w:rFonts w:ascii="Helvetica Neue" w:cs="Helvetica Neue" w:eastAsia="Helvetica Neue" w:hAnsi="Helvetica Neue"/>
              </w:rPr>
            </w:pPr>
            <w:r>
              <w:rPr>
                <w:rFonts w:ascii="Helvetica Neue" w:cs="Helvetica Neue" w:eastAsia="Helvetica Neue" w:hAnsi="Helvetica Neue"/>
                <w:b w:val="1"/>
                <w:bCs w:val="1"/>
                <w:color w:val="ffffff"/>
                <w:sz w:val="20"/>
                <w:rtl w:val="0"/>
              </w:rPr>
              <w:t>Risk and likelihood</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008" w:type="dxa"/>
          </w:tcPr>
          <w:p w14:paraId="00000094">
            <w:pPr>
              <w:keepNext w:val="0"/>
              <w:spacing w:after="0" w:before="0" w:line="259" w:lineRule="auto"/>
              <w:rPr>
                <w:rFonts w:ascii="Helvetica Neue" w:cs="Helvetica Neue" w:eastAsia="Helvetica Neue" w:hAnsi="Helvetica Neue"/>
              </w:rPr>
            </w:pPr>
            <w:r>
              <w:rPr>
                <w:rFonts w:ascii="Helvetica Neue" w:cs="Helvetica Neue" w:eastAsia="Helvetica Neue" w:hAnsi="Helvetica Neue"/>
                <w:b w:val="1"/>
                <w:bCs w:val="1"/>
                <w:color w:val="ffffff"/>
                <w:sz w:val="20"/>
                <w:rtl w:val="0"/>
              </w:rPr>
              <w:t>Impact</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6264" w:type="dxa"/>
          </w:tcPr>
          <w:p w14:paraId="00000095">
            <w:pPr>
              <w:keepNext w:val="0"/>
              <w:spacing w:after="0" w:before="0" w:line="259" w:lineRule="auto"/>
              <w:rPr>
                <w:rFonts w:ascii="Helvetica Neue" w:cs="Helvetica Neue" w:eastAsia="Helvetica Neue" w:hAnsi="Helvetica Neue"/>
              </w:rPr>
            </w:pPr>
            <w:r>
              <w:rPr>
                <w:rFonts w:ascii="Helvetica Neue" w:cs="Helvetica Neue" w:eastAsia="Helvetica Neue" w:hAnsi="Helvetica Neue"/>
                <w:b w:val="1"/>
                <w:bCs w:val="1"/>
                <w:color w:val="ffffff"/>
                <w:sz w:val="20"/>
                <w:rtl w:val="0"/>
              </w:rPr>
              <w:t>Required control and evidence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952" w:type="dxa"/>
          </w:tcPr>
          <w:p w14:paraId="00000096">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College or group data leak</w:t>
              <w:br/>
              <w:t>Medium</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1008" w:type="dxa"/>
          </w:tcPr>
          <w:p w14:paraId="00000097">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Critical</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6264" w:type="dxa"/>
          </w:tcPr>
          <w:p w14:paraId="00000098">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Server permission checks across API, files, AI, caches and exports; automated cross-campus and former-member denial tests.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952" w:type="dxa"/>
          </w:tcPr>
          <w:p w14:paraId="00000096">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Fake representative or privilege abuse</w:t>
              <w:br/>
              <w:t>Medium</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1008" w:type="dxa"/>
          </w:tcPr>
          <w:p w14:paraId="00000097">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High</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6264" w:type="dxa"/>
          </w:tcPr>
          <w:p w14:paraId="00000098">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Independent campus-contact verification; scoped invitations; administrator MFA; role-change audit and membership review.</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952" w:type="dxa"/>
          </w:tcPr>
          <w:p w14:paraId="00000096">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Management suppresses criticism</w:t>
              <w:br/>
              <w:t>Medium</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1008" w:type="dxa"/>
          </w:tcPr>
          <w:p w14:paraId="00000097">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High</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6264" w:type="dxa"/>
          </w:tcPr>
          <w:p w14:paraId="00000098">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Visible moderation reasons, appeal reviewer, overdue history and exportable metrics. Include student representation in policy oversight.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952" w:type="dxa"/>
          </w:tcPr>
          <w:p w14:paraId="00000096">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Personal information or retaliation</w:t>
              <w:br/>
              <w:t>Medium</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1008" w:type="dxa"/>
          </w:tcPr>
          <w:p w14:paraId="00000097">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High</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6264" w:type="dxa"/>
          </w:tcPr>
          <w:p w14:paraId="00000098">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Restricted case route, confidential reporter identity to a limited handler set, redacted public summaries and access logs. Never promise full anonymity.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952" w:type="dxa"/>
          </w:tcPr>
          <w:p w14:paraId="00000096">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Incorrect AI advice or hidden disclosure</w:t>
              <w:br/>
              <w:t>Medium</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1008" w:type="dxa"/>
          </w:tcPr>
          <w:p w14:paraId="00000097">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High</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6264" w:type="dxa"/>
          </w:tcPr>
          <w:p w14:paraId="00000098">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Retrieve only authorized sources, cite them, require human decisions, test hostile content and provide a no-AI fallback.</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952" w:type="dxa"/>
          </w:tcPr>
          <w:p w14:paraId="00000096">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No department responds</w:t>
              <w:br/>
              <w:t>High</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1008" w:type="dxa"/>
          </w:tcPr>
          <w:p w14:paraId="00000097">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High</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6264" w:type="dxa"/>
          </w:tcPr>
          <w:p w14:paraId="00000098">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Named lead and backup before launch; agreed response targets; overdue escalation and visible unassigned queues. Software cannot force action.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952" w:type="dxa"/>
          </w:tcPr>
          <w:p w14:paraId="00000096">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Staff closes issues too early</w:t>
              <w:br/>
              <w:t>Medium</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1008" w:type="dxa"/>
          </w:tcPr>
          <w:p w14:paraId="00000097">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High</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6264" w:type="dxa"/>
          </w:tcPr>
          <w:p w14:paraId="00000098">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Separate proposed resolution from reporter confirmation; reopen and appeal; publish both counts.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952" w:type="dxa"/>
          </w:tcPr>
          <w:p w14:paraId="00000096">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Spam fraud or unsafe peer activity</w:t>
              <w:br/>
              <w:t>Medium</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1008" w:type="dxa"/>
          </w:tcPr>
          <w:p w14:paraId="00000097">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High</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6264" w:type="dxa"/>
          </w:tcPr>
          <w:p w14:paraId="00000098">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Verified membership, rate limits, report/block, moderation, capacity rules and private coordination; no platform payments initially.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952" w:type="dxa"/>
          </w:tcPr>
          <w:p w14:paraId="00000096">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Cost spike or excessive uploads</w:t>
              <w:br/>
              <w:t>Medium</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1008" w:type="dxa"/>
          </w:tcPr>
          <w:p w14:paraId="00000097">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High</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6264" w:type="dxa"/>
          </w:tcPr>
          <w:p w14:paraId="00000098">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File quotas, compression, request throttles, token counters, spend alerts and feature-level kill switches.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952" w:type="dxa"/>
          </w:tcPr>
          <w:p w14:paraId="00000096">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Lost evidence or conflicting edits</w:t>
              <w:br/>
              <w:t>Medium</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1008" w:type="dxa"/>
          </w:tcPr>
          <w:p w14:paraId="00000097">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High</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6264" w:type="dxa"/>
          </w:tcPr>
          <w:p w14:paraId="00000098">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Versioned writes, atomic updates, deduplicated submissions, backups and a demonstrated restore procedure.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952" w:type="dxa"/>
          </w:tcPr>
          <w:p w14:paraId="00000096">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Campus refuses adoption</w:t>
              <w:br/>
              <w:t>Medium</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1008" w:type="dxa"/>
          </w:tcPr>
          <w:p w14:paraId="00000097">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High</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6264" w:type="dxa"/>
          </w:tcPr>
          <w:p w14:paraId="00000098">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Pilot with one hostel and two service units; obtain named owners and student feedback before expanding.</w:t>
            </w:r>
          </w:p>
        </w:tc>
      </w:tr>
    </w:tbl>
    <w:p w14:paraId="0000003E">
      <w:pPr>
        <w:pStyle w:val="Heading3"/>
        <w:keepNext/>
        <w:pageBreakBefore w:val="0"/>
        <w:spacing w:after="160" w:line="278" w:lineRule="auto" w:before="200"/>
        <w:jc w:val="left"/>
        <w:rPr/>
      </w:pPr>
      <w:r>
        <w:rPr>
          <w:b/>
          <w:color w:val="000000"/>
          <w:sz w:val="22"/>
          <w:rtl w:val="0"/>
        </w:rPr>
        <w:t>Metrics students can verify</w:t>
      </w:r>
    </w:p>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t>Show open and overdue issues, acknowledgement time, proposed resolution time, confirmed closure rate and reopen rate by unit and date range. Include sample sizes, waiting periods and excluded sensitive cases. Publish metric definitions; keep declined and duplicate records visible in the relevant totals so they cannot inflate the success rate.</w:t>
      </w:r>
    </w:p>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t>A genuine college pilot requires an agreed escalation process and moderation policy. An open-source repository, auditable history and student feedback improve credibility; none substitutes for those institutional commitments.</w:t>
      </w:r>
    </w:p>
    <w:p w14:paraId="00000026">
      <w:pPr>
        <w:pStyle w:val="Heading1"/>
        <w:keepNext/>
        <w:pageBreakBefore w:val="0"/>
        <w:spacing w:after="160" w:before="200" w:line="278" w:lineRule="auto"/>
        <w:jc w:val="left"/>
        <w:rPr>
          <w:rFonts w:ascii="Helvetica Neue" w:cs="Helvetica Neue" w:eastAsia="Helvetica Neue" w:hAnsi="Helvetica Neue"/>
          <w:color w:val="000000"/>
        </w:rPr>
      </w:pPr>
      <w:r>
        <w:rPr>
          <w:rFonts w:ascii="Helvetica Neue" w:cs="Helvetica Neue" w:eastAsia="Helvetica Neue" w:hAnsi="Helvetica Neue"/>
          <w:color w:val="000000"/>
          <w:sz w:val="27"/>
          <w:rtl w:val="0"/>
        </w:rPr>
        <w:t>10 Release scope and acceptance</w:t>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1872"/>
        <w:gridCol w:w="4392"/>
        <w:gridCol w:w="3960"/>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872" w:type="dxa"/>
          </w:tcPr>
          <w:p w14:paraId="00000093">
            <w:pPr>
              <w:keepNext w:val="0"/>
              <w:spacing w:after="0" w:before="0" w:line="259" w:lineRule="auto"/>
              <w:rPr>
                <w:rFonts w:ascii="Helvetica Neue" w:cs="Helvetica Neue" w:eastAsia="Helvetica Neue" w:hAnsi="Helvetica Neue"/>
              </w:rPr>
            </w:pPr>
            <w:r>
              <w:rPr>
                <w:rFonts w:ascii="Helvetica Neue" w:cs="Helvetica Neue" w:eastAsia="Helvetica Neue" w:hAnsi="Helvetica Neue"/>
                <w:b w:val="1"/>
                <w:bCs w:val="1"/>
                <w:color w:val="ffffff"/>
                <w:sz w:val="20"/>
                <w:rtl w:val="0"/>
              </w:rPr>
              <w:t>Stage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92" w:type="dxa"/>
          </w:tcPr>
          <w:p w14:paraId="00000094">
            <w:pPr>
              <w:keepNext w:val="0"/>
              <w:spacing w:after="0" w:before="0" w:line="259" w:lineRule="auto"/>
              <w:rPr>
                <w:rFonts w:ascii="Helvetica Neue" w:cs="Helvetica Neue" w:eastAsia="Helvetica Neue" w:hAnsi="Helvetica Neue"/>
              </w:rPr>
            </w:pPr>
            <w:r>
              <w:rPr>
                <w:rFonts w:ascii="Helvetica Neue" w:cs="Helvetica Neue" w:eastAsia="Helvetica Neue" w:hAnsi="Helvetica Neue"/>
                <w:b w:val="1"/>
                <w:bCs w:val="1"/>
                <w:color w:val="ffffff"/>
                <w:sz w:val="20"/>
                <w:rtl w:val="0"/>
              </w:rPr>
              <w:t>Deliverable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960" w:type="dxa"/>
          </w:tcPr>
          <w:p w14:paraId="00000095">
            <w:pPr>
              <w:keepNext w:val="0"/>
              <w:spacing w:after="0" w:before="0" w:line="259" w:lineRule="auto"/>
              <w:rPr>
                <w:rFonts w:ascii="Helvetica Neue" w:cs="Helvetica Neue" w:eastAsia="Helvetica Neue" w:hAnsi="Helvetica Neue"/>
              </w:rPr>
            </w:pPr>
            <w:r>
              <w:rPr>
                <w:rFonts w:ascii="Helvetica Neue" w:cs="Helvetica Neue" w:eastAsia="Helvetica Neue" w:hAnsi="Helvetica Neue"/>
                <w:b w:val="1"/>
                <w:bCs w:val="1"/>
                <w:color w:val="ffffff"/>
                <w:sz w:val="20"/>
                <w:rtl w:val="0"/>
              </w:rPr>
              <w:t>Completion evidence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1872" w:type="dxa"/>
          </w:tcPr>
          <w:p w14:paraId="00000096">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Hackathon core</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4392" w:type="dxa"/>
          </w:tcPr>
          <w:p w14:paraId="00000097">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One demo campus; real roles; hostel and department groups; report, assign, reply, upload, resolve, reopen; history and one AI precedent feature.</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960" w:type="dxa"/>
          </w:tcPr>
          <w:p w14:paraId="00000098">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Two accounts demonstrate correct visibility; full issue workflow persists on AWS; AI cites permitted examples.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1872" w:type="dxa"/>
          </w:tcPr>
          <w:p w14:paraId="00000096">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First campus pilot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392" w:type="dxa"/>
          </w:tcPr>
          <w:p w14:paraId="00000097">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Approved administrators and owners; invitations; moderation and appeals; Questions; file checks; retention jobs; backups; cost dashboard.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60" w:type="dxa"/>
          </w:tcPr>
          <w:p w14:paraId="00000098">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Real users and assigned staff complete the workflow; access tests pass; restore and budget controls demonstrated.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1872" w:type="dxa"/>
          </w:tcPr>
          <w:p w14:paraId="00000096">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Community expansion</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4392" w:type="dxa"/>
          </w:tcPr>
          <w:p w14:paraId="00000097">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Activities, participation limits, Marketplace and private inquiries; refined discovery and subscriptions.</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960" w:type="dxa"/>
          </w:tcPr>
          <w:p w14:paraId="00000098">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Join capacity and private inquiries tested; clear moderation ownership and expiry.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1872" w:type="dxa"/>
          </w:tcPr>
          <w:p w14:paraId="00000096">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Wider rollout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392" w:type="dxa"/>
          </w:tcPr>
          <w:p w14:paraId="00000097">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Multiple colleges, improved search and additional integrations only when justified.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60" w:type="dxa"/>
          </w:tcPr>
          <w:p w14:paraId="00000098">
            <w:pPr>
              <w:keepNext w:val="0"/>
              <w:spacing w:after="0" w:before="0" w:line="259" w:lineRule="auto"/>
              <w:rPr>
                <w:rFonts w:ascii="Helvetica Neue" w:cs="Helvetica Neue" w:eastAsia="Helvetica Neue" w:hAnsi="Helvetica Neue"/>
              </w:rPr>
            </w:pPr>
            <w:r>
              <w:rPr>
                <w:rFonts w:ascii="Helvetica Neue" w:cs="Helvetica Neue" w:eastAsia="Helvetica Neue" w:hAnsi="Helvetica Neue"/>
                <w:color w:val="233447"/>
                <w:sz w:val="20"/>
                <w:rtl w:val="0"/>
              </w:rPr>
              <w:t>Tenant isolation verified; measured load and cost forecast approved; support ownership assigned.</w:t>
            </w:r>
          </w:p>
        </w:tc>
      </w:tr>
    </w:tbl>
    <w:p w14:paraId="0000003E">
      <w:pPr>
        <w:pStyle w:val="Heading3"/>
        <w:keepNext/>
        <w:pageBreakBefore w:val="0"/>
        <w:spacing w:after="160" w:line="278" w:lineRule="auto" w:before="200"/>
        <w:jc w:val="left"/>
        <w:rPr/>
      </w:pPr>
      <w:r>
        <w:rPr>
          <w:b/>
          <w:color w:val="000000"/>
          <w:sz w:val="22"/>
          <w:rtl w:val="0"/>
        </w:rPr>
        <w:t>Acceptance tests for the first working release</w:t>
      </w:r>
    </w:p>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t>• A hostel resident sees their hostel issue; another hostel cannot fetch it by URL, API, search or attachment link. An explicitly assigned IT handler can work on it.</w:t>
      </w:r>
    </w:p>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t>• A campus-wide fee policy post is visible to all campus members; a personal payment attachment and restricted staff note are not.</w:t>
      </w:r>
    </w:p>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t>• A role change, reassignment, moderation action and reopening each leave an attributed history event. A duplicate keeps its original report and supporting students.</w:t>
      </w:r>
    </w:p>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t>• A confirmed historical repair appears with its source in a relevant AI suggestion. A restricted or reopened repair does not. AI failure does not block filing a complaint.</w:t>
      </w:r>
    </w:p>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t>• Uploading a file twice or retrying submission does not create duplicate records. Failed uploads and failed notifications are recoverable and observable.</w:t>
      </w:r>
    </w:p>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t>• Ordinary non-AI API responses target a 95th percentile below two seconds under a defined 50-user pilot load. Validate on the deployed service; show saving and retry states on slow networks.</w:t>
      </w:r>
    </w:p>
    <w:p w14:paraId="0000003E">
      <w:pPr>
        <w:pStyle w:val="Heading3"/>
        <w:keepNext/>
        <w:pageBreakBefore w:val="0"/>
        <w:spacing w:after="160" w:line="278" w:lineRule="auto" w:before="200"/>
        <w:jc w:val="left"/>
        <w:rPr/>
      </w:pPr>
      <w:r>
        <w:rPr>
          <w:b/>
          <w:color w:val="000000"/>
          <w:sz w:val="22"/>
          <w:rtl w:val="0"/>
        </w:rPr>
        <w:t>Next design package</w:t>
      </w:r>
    </w:p>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t>Produce the entity relationship model and query/index plan; page map and mobile wireframes; role-and-audience enforcement rules; API and file-flow contracts; infrastructure-as-code deployment and rollback plan. Then implement in vertical slices, beginning with one complete issue workflow.</w:t>
      </w:r>
    </w:p>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t>Before real launch, confirm college identity, approved domains, group rosters, named handlers, response targets, emergency contacts, moderation/appeal ownership, retention and region policy, and monthly spending authority. Prefer an approved Indian region for campus records; verify Bedrock model processing locations separately rather than assuming every model stays in that region.</w:t>
      </w:r>
    </w:p>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t>Hackathon delivery: public repository, live AWS URL for Ship It, short writeup with AI-tool disclosure, and a public or unlisted YouTube demo under three minutes. Label sample campus data and describe implemented versus planned features accurately. [10]</w:t>
      </w:r>
    </w:p>
    <w:p w14:paraId="00000026">
      <w:pPr>
        <w:pStyle w:val="Heading1"/>
        <w:keepNext/>
        <w:pageBreakBefore w:val="0"/>
        <w:spacing w:after="160" w:before="200" w:line="278" w:lineRule="auto"/>
        <w:jc w:val="left"/>
        <w:rPr>
          <w:rFonts w:ascii="Helvetica Neue" w:cs="Helvetica Neue" w:eastAsia="Helvetica Neue" w:hAnsi="Helvetica Neue"/>
          <w:color w:val="000000"/>
        </w:rPr>
      </w:pPr>
      <w:r>
        <w:rPr>
          <w:rFonts w:ascii="Helvetica Neue" w:cs="Helvetica Neue" w:eastAsia="Helvetica Neue" w:hAnsi="Helvetica Neue"/>
          <w:color w:val="000000"/>
          <w:sz w:val="27"/>
          <w:rtl w:val="0"/>
        </w:rPr>
        <w:t>11 Sources for technical decisions</w:t>
      </w:r>
    </w:p>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t>Official sources checked on 18 September 2026. Product scope, quotas, risk ratings and budget allocations in this document are proposed decisions. Model availability and AWS prices must be rechecked for the selected region before deployment.</w:t>
      </w:r>
    </w:p>
    <w:p w14:paraId="0000003E">
      <w:pPr>
        <w:pStyle w:val="Heading3"/>
        <w:keepNext/>
        <w:pageBreakBefore w:val="0"/>
        <w:spacing w:after="160" w:line="278" w:lineRule="auto" w:before="200"/>
        <w:jc w:val="left"/>
        <w:rPr/>
      </w:pPr>
      <w:r>
        <w:rPr>
          <w:b/>
          <w:color w:val="000000"/>
          <w:sz w:val="22"/>
          <w:rtl w:val="0"/>
        </w:rPr>
        <w:t>1 Amazon Bedrock pricing</w:t>
      </w:r>
    </w:p>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r>
      <w:hyperlink r:id="rId7">
        <w:r>
          <w:rPr>
            <w:color w:val="245b82"/>
            <w:sz w:val="20"/>
          </w:rPr>
          <w:t>Official source</w:t>
        </w:r>
      </w:hyperlink>
      <w:r>
        <w:rPr>
          <w:sz w:val="20"/>
        </w:rPr>
        <w:t xml:space="preserve"> — Model and token pricing; separate charges can apply to retrieval and other features.</w:t>
      </w:r>
    </w:p>
    <w:p w14:paraId="0000003E">
      <w:pPr>
        <w:pStyle w:val="Heading3"/>
        <w:keepNext/>
        <w:pageBreakBefore w:val="0"/>
        <w:spacing w:after="160" w:line="278" w:lineRule="auto" w:before="200"/>
        <w:jc w:val="left"/>
        <w:rPr/>
      </w:pPr>
      <w:r>
        <w:rPr>
          <w:b/>
          <w:color w:val="000000"/>
          <w:sz w:val="22"/>
          <w:rtl w:val="0"/>
        </w:rPr>
        <w:t>2 Amazon Nova model documentation</w:t>
      </w:r>
    </w:p>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r>
      <w:hyperlink r:id="rId14">
        <w:r>
          <w:rPr>
            <w:color w:val="245b82"/>
            <w:sz w:val="20"/>
          </w:rPr>
          <w:t>Official source</w:t>
        </w:r>
      </w:hyperlink>
      <w:r>
        <w:rPr>
          <w:sz w:val="20"/>
        </w:rPr>
        <w:t xml:space="preserve"> — Managed models accessed through Bedrock; model versions and regional support vary.</w:t>
      </w:r>
    </w:p>
    <w:p w14:paraId="0000003E">
      <w:pPr>
        <w:pStyle w:val="Heading3"/>
        <w:keepNext/>
        <w:pageBreakBefore w:val="0"/>
        <w:spacing w:after="160" w:line="278" w:lineRule="auto" w:before="200"/>
        <w:jc w:val="left"/>
        <w:rPr/>
      </w:pPr>
      <w:r>
        <w:rPr>
          <w:b/>
          <w:color w:val="000000"/>
          <w:sz w:val="22"/>
          <w:rtl w:val="0"/>
        </w:rPr>
        <w:t>3 Access control with retrieval metadata</w:t>
      </w:r>
    </w:p>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r>
      <w:hyperlink r:id="rId15">
        <w:r>
          <w:rPr>
            <w:color w:val="245b82"/>
            <w:sz w:val="20"/>
          </w:rPr>
          <w:t>Official source</w:t>
        </w:r>
      </w:hyperlink>
      <w:r>
        <w:rPr>
          <w:sz w:val="20"/>
        </w:rPr>
        <w:t xml:space="preserve"> — Permission metadata can constrain retrieval; the application must enforce the correct user scope.</w:t>
      </w:r>
    </w:p>
    <w:p w14:paraId="0000003E">
      <w:pPr>
        <w:pStyle w:val="Heading3"/>
        <w:keepNext/>
        <w:pageBreakBefore w:val="0"/>
        <w:spacing w:after="160" w:line="278" w:lineRule="auto" w:before="200"/>
        <w:jc w:val="left"/>
        <w:rPr/>
      </w:pPr>
      <w:r>
        <w:rPr>
          <w:b/>
          <w:color w:val="000000"/>
          <w:sz w:val="22"/>
          <w:rtl w:val="0"/>
        </w:rPr>
        <w:t>4 Amazon Cognito pricing</w:t>
      </w:r>
    </w:p>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r>
      <w:hyperlink r:id="rId16">
        <w:r>
          <w:rPr>
            <w:color w:val="245b82"/>
            <w:sz w:val="20"/>
          </w:rPr>
          <w:t>Official source</w:t>
        </w:r>
      </w:hyperlink>
      <w:r>
        <w:rPr>
          <w:sz w:val="20"/>
        </w:rPr>
        <w:t xml:space="preserve"> — Monthly active user allowances, tiers and separate messaging/federation charges.</w:t>
      </w:r>
    </w:p>
    <w:p w14:paraId="0000003E">
      <w:pPr>
        <w:pStyle w:val="Heading3"/>
        <w:keepNext/>
        <w:pageBreakBefore w:val="0"/>
        <w:spacing w:after="160" w:line="278" w:lineRule="auto" w:before="200"/>
        <w:jc w:val="left"/>
        <w:rPr/>
      </w:pPr>
      <w:r>
        <w:rPr>
          <w:b/>
          <w:color w:val="000000"/>
          <w:sz w:val="22"/>
          <w:rtl w:val="0"/>
        </w:rPr>
        <w:t>5 Amazon DynamoDB pricing</w:t>
      </w:r>
    </w:p>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r>
      <w:hyperlink r:id="rId17">
        <w:r>
          <w:rPr>
            <w:color w:val="245b82"/>
            <w:sz w:val="20"/>
          </w:rPr>
          <w:t>Official source</w:t>
        </w:r>
      </w:hyperlink>
      <w:r>
        <w:rPr>
          <w:sz w:val="20"/>
        </w:rPr>
        <w:t xml:space="preserve"> — On-demand request charges and additional storage/backup costs.</w:t>
      </w:r>
    </w:p>
    <w:p w14:paraId="0000003E">
      <w:pPr>
        <w:pStyle w:val="Heading3"/>
        <w:keepNext/>
        <w:pageBreakBefore w:val="0"/>
        <w:spacing w:after="160" w:line="278" w:lineRule="auto" w:before="200"/>
        <w:jc w:val="left"/>
        <w:rPr/>
      </w:pPr>
      <w:r>
        <w:rPr>
          <w:b/>
          <w:color w:val="000000"/>
          <w:sz w:val="22"/>
          <w:rtl w:val="0"/>
        </w:rPr>
        <w:t>6 Amazon S3 pricing</w:t>
      </w:r>
    </w:p>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r>
      <w:hyperlink r:id="rId18">
        <w:r>
          <w:rPr>
            <w:color w:val="245b82"/>
            <w:sz w:val="20"/>
          </w:rPr>
          <w:t>Official source</w:t>
        </w:r>
      </w:hyperlink>
      <w:r>
        <w:rPr>
          <w:sz w:val="20"/>
        </w:rPr>
        <w:t xml:space="preserve"> — Storage, requests and transfer are separate cost drivers.</w:t>
      </w:r>
    </w:p>
    <w:p w14:paraId="0000003E">
      <w:pPr>
        <w:pStyle w:val="Heading3"/>
        <w:keepNext/>
        <w:pageBreakBefore w:val="0"/>
        <w:spacing w:after="160" w:line="278" w:lineRule="auto" w:before="200"/>
        <w:jc w:val="left"/>
        <w:rPr/>
      </w:pPr>
      <w:r>
        <w:rPr>
          <w:b/>
          <w:color w:val="000000"/>
          <w:sz w:val="22"/>
          <w:rtl w:val="0"/>
        </w:rPr>
        <w:t>7 AWS Lambda pricing</w:t>
      </w:r>
    </w:p>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r>
      <w:hyperlink r:id="rId19">
        <w:r>
          <w:rPr>
            <w:color w:val="245b82"/>
            <w:sz w:val="20"/>
          </w:rPr>
          <w:t>Official source</w:t>
        </w:r>
      </w:hyperlink>
      <w:r>
        <w:rPr>
          <w:sz w:val="20"/>
        </w:rPr>
        <w:t xml:space="preserve"> — Request and compute-duration pricing.</w:t>
      </w:r>
    </w:p>
    <w:p w14:paraId="0000003E">
      <w:pPr>
        <w:pStyle w:val="Heading3"/>
        <w:keepNext/>
        <w:pageBreakBefore w:val="0"/>
        <w:spacing w:after="160" w:line="278" w:lineRule="auto" w:before="200"/>
        <w:jc w:val="left"/>
        <w:rPr/>
      </w:pPr>
      <w:r>
        <w:rPr>
          <w:b/>
          <w:color w:val="000000"/>
          <w:sz w:val="22"/>
          <w:rtl w:val="0"/>
        </w:rPr>
        <w:t>8 Amazon API Gateway pricing</w:t>
      </w:r>
    </w:p>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r>
      <w:hyperlink r:id="rId20">
        <w:r>
          <w:rPr>
            <w:color w:val="245b82"/>
            <w:sz w:val="20"/>
          </w:rPr>
          <w:t>Official source</w:t>
        </w:r>
      </w:hyperlink>
      <w:r>
        <w:rPr>
          <w:sz w:val="20"/>
        </w:rPr>
        <w:t xml:space="preserve"> — HTTP API request and data-transfer pricing.</w:t>
      </w:r>
    </w:p>
    <w:p w14:paraId="0000003E">
      <w:pPr>
        <w:pStyle w:val="Heading3"/>
        <w:keepNext/>
        <w:pageBreakBefore w:val="0"/>
        <w:spacing w:after="160" w:line="278" w:lineRule="auto" w:before="200"/>
        <w:jc w:val="left"/>
        <w:rPr/>
      </w:pPr>
      <w:r>
        <w:rPr>
          <w:b/>
          <w:color w:val="000000"/>
          <w:sz w:val="22"/>
          <w:rtl w:val="0"/>
        </w:rPr>
        <w:t>9 AWS Budgets documentation</w:t>
      </w:r>
    </w:p>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r>
      <w:hyperlink r:id="rId21">
        <w:r>
          <w:rPr>
            <w:color w:val="245b82"/>
            <w:sz w:val="20"/>
          </w:rPr>
          <w:t>Official source</w:t>
        </w:r>
      </w:hyperlink>
      <w:r>
        <w:rPr>
          <w:sz w:val="20"/>
        </w:rPr>
        <w:t xml:space="preserve"> — Budget notifications can arrive after further charges accrue.</w:t>
      </w:r>
    </w:p>
    <w:p w14:paraId="0000003E">
      <w:pPr>
        <w:pStyle w:val="Heading3"/>
        <w:keepNext/>
        <w:pageBreakBefore w:val="0"/>
        <w:spacing w:after="160" w:line="278" w:lineRule="auto" w:before="200"/>
        <w:jc w:val="left"/>
        <w:rPr/>
      </w:pPr>
      <w:r>
        <w:rPr>
          <w:b/>
          <w:color w:val="000000"/>
          <w:sz w:val="22"/>
          <w:rtl w:val="0"/>
        </w:rPr>
        <w:t>10 First Commit rules and event overview</w:t>
      </w:r>
    </w:p>
    <w:p w14:paraId="00000027">
      <w:pPr>
        <w:keepNext w:val="0"/>
        <w:pageBreakBefore w:val="0"/>
        <w:spacing w:after="100" w:line="278" w:lineRule="auto" w:before="0"/>
        <w:jc w:val="left"/>
        <w:rPr>
          <w:rFonts w:ascii="Helvetica Neue" w:cs="Helvetica Neue" w:eastAsia="Helvetica Neue" w:hAnsi="Helvetica Neue"/>
        </w:rPr>
      </w:pPr>
      <w:r>
        <w:rPr>
          <w:rFonts w:ascii="Helvetica Neue" w:cs="Helvetica Neue" w:eastAsia="Helvetica Neue" w:hAnsi="Helvetica Neue"/>
          <w:color w:val="233447"/>
          <w:sz w:val="22"/>
          <w:rtl w:val="0"/>
        </w:rPr>
      </w:r>
      <w:hyperlink r:id="rId22">
        <w:r>
          <w:rPr>
            <w:color w:val="245b82"/>
            <w:sz w:val="20"/>
          </w:rPr>
          <w:t>Official source</w:t>
        </w:r>
      </w:hyperlink>
      <w:r>
        <w:rPr>
          <w:sz w:val="20"/>
        </w:rPr>
        <w:t xml:space="preserve"> — Submission requirements and event build rules. Track details: https://www.wemakedevs.org/aws/first-commit</w:t>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CampusFix | Product requirements</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 Id="rId7" Type="http://schemas.openxmlformats.org/officeDocument/2006/relationships/hyperlink" Target="https://aws.amazon.com/bedrock/pricing/" TargetMode="External"/><Relationship Id="rId14" Type="http://schemas.openxmlformats.org/officeDocument/2006/relationships/hyperlink" Target="https://docs.aws.amazon.com/nova/latest/userguide/what-is-nova.html" TargetMode="External"/><Relationship Id="rId15" Type="http://schemas.openxmlformats.org/officeDocument/2006/relationships/hyperlink" Target="https://aws.amazon.com/blogs/machine-learning/access-control-for-vector-stores-using-metadata-filtering-with-knowledge-bases-for-amazon-bedrock/" TargetMode="External"/><Relationship Id="rId16" Type="http://schemas.openxmlformats.org/officeDocument/2006/relationships/hyperlink" Target="https://aws.amazon.com/cognito/pricing/" TargetMode="External"/><Relationship Id="rId17" Type="http://schemas.openxmlformats.org/officeDocument/2006/relationships/hyperlink" Target="https://aws.amazon.com/dynamodb/pricing/" TargetMode="External"/><Relationship Id="rId18" Type="http://schemas.openxmlformats.org/officeDocument/2006/relationships/hyperlink" Target="https://aws.amazon.com/s3/pricing/" TargetMode="External"/><Relationship Id="rId19" Type="http://schemas.openxmlformats.org/officeDocument/2006/relationships/hyperlink" Target="https://aws.amazon.com/lambda/pricing/" TargetMode="External"/><Relationship Id="rId20" Type="http://schemas.openxmlformats.org/officeDocument/2006/relationships/hyperlink" Target="https://aws.amazon.com/api-gateway/pricing/" TargetMode="External"/><Relationship Id="rId21" Type="http://schemas.openxmlformats.org/officeDocument/2006/relationships/hyperlink" Target="https://docs.aws.amazon.com/cost-management/latest/userguide/budgets-managing-costs.html" TargetMode="External"/><Relationship Id="rId22" Type="http://schemas.openxmlformats.org/officeDocument/2006/relationships/hyperlink" Target="https://www.wemakedevs.org/aws/first-commit/rul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