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A">
      <w:pPr>
        <w:pStyle w:val="Title"/>
        <w:keepNext/>
        <w:keepLines/>
        <w:pageBreakBefore w:val="0"/>
        <w:spacing w:line="252" w:lineRule="auto" w:before="0" w:after="60"/>
        <w:jc w:val="left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b/>
          <w:color w:val="000000"/>
          <w:sz w:val="40"/>
          <w:szCs w:val="72"/>
          <w:rtl w:val="0"/>
        </w:rPr>
        <w:t>CampusFix Requirements Review</w:t>
      </w:r>
    </w:p>
    <w:p w14:paraId="00000027">
      <w:pPr>
        <w:keepNext w:val="0"/>
        <w:keepLines/>
        <w:pageBreakBefore w:val="0"/>
        <w:spacing w:after="60" w:line="252" w:lineRule="auto" w:before="0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>Bullet summary for feedback | 18 September 2026</w:t>
      </w:r>
    </w:p>
    <w:p w14:paraId="00000027">
      <w:pPr>
        <w:keepNext w:val="0"/>
        <w:keepLines/>
        <w:pageBreakBefore w:val="0"/>
        <w:spacing w:after="60" w:line="252" w:lineRule="auto" w:before="0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>Use a subsection code when commenting, for example “3B: change the response deadline”. Limits, budgets and targets below are proposals. Detailed database and screen design come next.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1 Purpose and access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1A Product purpose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Goal: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make campus issues traceable from report to resolution and organize student help in one workspace.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Main areas: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Issues, Questions, Activities and Marketplace; supporting areas are Resolution Library and Accountability Dashboard.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Separate fields: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post type, topic, location, audience and responsible team. A location does not automatically determine the owner.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Transparency: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show permitted issues, decisions and delays. Open-source code does not mean public student data.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1B Roles and joining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Campus administrator: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verify the initial representative through a college-controlled contact; manages units, approved domains, invitations and roles.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Staff or representative: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joins by an authorized invitation; handles assigned units and records progress and resolutions.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Student: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verifies an approved college email or receives an approved email-specific invitation; posts, replies and participates.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Moderator and reviewer: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apply published rules and handle appeals; the reviewer must be independent of the dispute.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Permissions: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email verification alone never grants administrator status; privileged accounts need MFA and auditable role changes.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Memberships: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approve department, batch, hostel and club membership; revoke expired roles and access after transfers or graduation.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2 Categories responsibility and visibility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2A Category to responsible team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Hostel and residence: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rooms, water and housekeeping → hostel office or warden; maintenance staff assist.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Mess and canteen: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meals, serving times and hygiene → mess committee or dining manager.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Department and academics: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classes, labs and academic processes → department office or academic coordinator.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Examinations and records: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registration, results and certificates → examination cell or registrar.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Campus infrastructure: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buildings, lighting, sanitation and accessibility → facilities or estate office.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IT and connectivity: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Wi-Fi, accounts and portals → IT helpdesk.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Library and learning spaces: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books, opening hours and seating → library administration.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Transport and parking: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routes, schedules and parking → transport office.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Placement and careers: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recruitment, eligibility and application issues → placement cell.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Fees and scholarships: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policies, refunds, payment errors and processing → accounts or scholarship cell.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Clubs and student bodies: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membership, events and permissions → club lead, adviser or student affairs.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Sports and campus life: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sports facilities and shared amenities → sports office or student affairs.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Safety and personal welfare: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sensitive security or personal complaints → designated restricted case handlers.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Other or unclear: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unclassified or cross-unit requests → triage queue with a named duty owner.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Ownership: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configure a lead, backup and escalation contact per unit; one primary owner per issue, with multiple collaborators allowed.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Example: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hostel Wi-Fi → IT owns the issue, hostel residents see it, and the hostel office can assist.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2B Who can see what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Campus-wide: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general fee policies, placement policies, amenities and open community posts; visible to verified members of that college.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Group-only: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hostel, department, batch or club matters; visible to approved members and explicitly assigned handlers.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Multiple groups: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membership in any selected group grants access; preview the audience before submission.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Restricted case: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individual receipts, marks, personal disputes or welfare evidence; only the reporter and authorized handlers.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Private coordination: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buyer–seller inquiries and activity arrangements; only approved participants.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Replies and files: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inherit the post audience unless explicitly narrower; internal staff notes remain restricted.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Mentions: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notify only people already allowed to read the post; tagging never grants access.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Audience changes: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widening requires a reason and evidence review; log it, notify the reporter and protect existing restricted material.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Enforcement: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apply server-side checks to feeds, links, files, search, notifications, exports, counts and AI; never mix college data.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3 Official issue workflow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3A Reporting and status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Submit: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title, description, topic, affected unit or location and audience; evidence is optional; allow drafts and duplicate suggestions.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Support: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“I am affected too” joins an existing issue; count each student once and preserve supporters when merging duplicates.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Workflow: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Submitted → Acknowledged → In progress → Proposed resolved → Confirmed closed; allow Waiting and Reopened.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Progress: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show owner, next action, expected update and evidence. Waiting needs a reason; total elapsed time stays visible.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Closure: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staff record the fix and evidence or explain why evidence is unsuitable; the reporter confirms or reopens.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Silence: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keep “resolved awaiting confirmation”; never count silence as student-confirmed closure.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Duplicate or declined: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preserve the original record; link the main issue or record a reason and appeal route.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3B Accountability and deadlines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Reassignment: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record old owner, new owner and reason; the old owner remains accountable until the transfer is accepted.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Proposed targets: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acknowledge within one working day; post a progress update within three; use campus working hours and holidays.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Escalation: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overdue issues go to the backup, then escalation contact; reassignment and duplicate merging never reset the clock.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Priority: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 human assesses urgency; popularity does not determine safety priority; log priority changes.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Emergencies: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show the college emergency contact immediately; the platform cannot guarantee emergency response.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Public metrics: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open/overdue counts, acknowledgement time, proposed-resolution time, confirmed closures and reopen rate by unit and period.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Honest reporting: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show sample sizes and waiting periods; account for duplicates and declines; aggregate sensitive cases only in groups of at least ten.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4 Student community features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4A Questions and help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Ask: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target the campus, a group, a person or a department; broadcasting does not email every student.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Replies: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one nesting level, useful-answer votes and an accepted answer; distinguish peer, verified staff and AI responses.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Official answers: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show verified role, source and review date; an ordinary reply cannot change college policy.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Convert to issue: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obtain the author’s confirmation, link the original question and recheck visibility.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4B Activities and group formation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Types: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games, study groups, trips, project teams, volunteering and club activities.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Required details: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organizer, audience, time, approximate location, capacity, join deadline and stated cost; label student-organized versus college-approved.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Joining: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request → accept, reject or waitlist; prevent overbooking; allow leaving and notify participants of cancellation.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Privacy: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share exact meeting/contact details only with approved participants when needed; do not expose a public attendance roster.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Expiry: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close completed activities; defer live location tracking, platform payments and a full social feed.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4C Marketplace and lost property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Listing: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item, category, condition, price or “free”, images and pickup area; separate lost-and-found posts.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States: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Available → Reserved → Sold; also Withdrawn or Expired; proposed expiry is 30 days with renewal.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Coordination: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private buyer–seller inquiry threads; keep phone numbers private by default; verify lost-item ownership privately.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Safeguards: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report/block, prohibited-item rules and moderation; verified membership does not guarantee the seller or item; no platform payments initially.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4D Navigation and alerts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Pages: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Home, Issues, Questions, Activities, Marketplace, My Activity, Resolution Library, Staff Queue and Administration.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Discovery: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filter permitted posts by group, topic, status, age or update time; pinned official notices remain easy to find.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Alerts: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in-app assignments, mentions, replies and status changes; optional email digests, urgent owner alerts, thread mute and group subscriptions.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5 Data files and history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5A Records to plan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Campus directory: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college, units, approved domains, timezone, policies and responsible contacts.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Identity: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user, approved memberships, invitations and role grants; store no passwords in the application database.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Content: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post, audience, issue, assignments, replies and revisions; keep each reply/event separate.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Participation: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support votes, subscriptions, activities, join requests, listings and private inquiry messages.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Evidence and knowledge: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attachment metadata, resolution records and reviewed knowledge entries linked to their original issues.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Operations: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notifications/delivery state, audit events, moderation/appeals and usage/AI records.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Common fields: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campus ID, stable record ID, author/actor, timestamps, version and access scope.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Reliability: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use atomic updates for seats and status, prevent duplicate submissions/deliveries, and support recoverable uploads and retries.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Queries: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indexed, paginated feeds, queues, overdue issues, user activity, replies and resolution searches; avoid full-database scans.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5B Files and retention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Storage: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private S3 files; database stores object keys and metadata; authorized short-lived upload/download links.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Limits: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JPEG, PNG or PDF; maximum three files per post and 5 MB each; defer video.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Processing: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verify format/size, quarantine until checks pass, scan PDFs before a real pilot, compress images and strip location metadata.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Evidence: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retain originals; label thumbnails/derived copies; keep the same access policy; delete abandoned uploads after 24 hours.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Proposed retention: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issues/replies 24 months after closure; attachments 12 months; activity/marketplace data 90 days after completion/expiry.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Logs and audit: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operational logs 30 days; audit events 24 months; exclude sensitive text and credentials.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Approval: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college confirms retention, sensitive-case handling, backup expiry and preservation holds before launch.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Deletion: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remove dependent previews, search entries, AI context and caches; previously downloaded copies cannot be recalled.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5C Visible history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Audit trail: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show submission, ownership, edits, progress, target changes, escalation, resolution, confirmation and reopening with actor/time.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Moderation: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record reason and appeal route; keep a redacted placeholder where appropriate instead of silently erasing an issue.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Credibility: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independent appeals, student participation in policy oversight, authorized exports, restricted audit access and tested backups.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Limits: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protect reporter identity in sensitive cases; do not promise full anonymity or absolute tamper-proof storage.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6 AI based on past resolutions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6A Recommended use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Approach: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managed Amazon Bedrock model; evaluate a small Amazon Nova model; no model training or dedicated GPU initially.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Main feature: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retrieve permitted past resolutions, explain what worked and cite the source issue and date.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Knowledge record: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symptom, unit, cause, fix, outcome, confirmation, evidence references, reviewer and review date.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Retrieval: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begin with category/location/keyword matching; add embeddings only if evaluation demonstrates a need.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Suggestions: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AI may recommend routing, duplicates and draft answers; a person confirms decisions and publishes staff responses.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6B Boundaries and validation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Permissions first: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filter and authorize records before sending them to the model; isolate campuses, groups and restricted cases.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Restrictions: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AI cannot close/delete complaints, punish people, widen access or execute tools; exclude sensitive welfare cases initially.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Accuracy: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require sources, acknowledge missing/conflicting history, and treat uploaded instructions as untrusted content.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Freshness: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invalidate reopened, corrected, deleted or newly restricted source cases and cached suggestions.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Fallback: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filing, search and staff workflows must work when AI fails or is disabled.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Proposed evaluation: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at least 30 labelled cases plus hostile-input/access tests; target 90% routing accuracy, cited claims and zero unauthorized disclosure.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7 Risks and controls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7A Main risks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Data leakage: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medium likelihood, critical impact → server authorization and cross-campus, group and former-member access tests.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No staff response: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high likelihood, high impact → named owners, agreed targets, escalation and visible overdue queues; software cannot force action.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False authority or retaliation: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medium likelihood, high impact → representative verification, MFA, scoped roles and restricted sensitive cases.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>Suppressed criticism or premature closure: medium likelihood, high impact → moderation reasons, independent appeals, reporter confirmation and reopening.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AI errors, spam or fraud: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medium likelihood, high impact → source-backed human review, quotas, report/block and moderation.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Lost data or cost spikes: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medium likelihood, high impact → versioning, deduplication, tested recovery, upload limits and spending controls.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Adoption failure: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medium likelihood, high impact → pilot with one hostel and two service units; obtain staff commitment and student feedback.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Ratings: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qualitative estimates before controls; reassess using pilot evidence.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8 AWS and operating cost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8A Proposed components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Hosting and login: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static web hosting plus Cognito; verify model access and inference location separately from data-storage region.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Application: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API Gateway HTTP API, Lambda and DynamoDB; private S3 files; scheduled reminders and expiry; optional Bedrock AI.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Cost controls: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indexed queries, thumbnails, caching, modest polling, on-demand capacity, token/retry limits and AI cache invalidation.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Defer costly infrastructure: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dedicated GPUs, provisioned AI, always-on search, NAT gateways, Kubernetes and permanent live-chat connections unless justified.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8B Pilot assumptions and budget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Monthly workload: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1,000 active users; 2,000 posts; 10,000 replies; 300,000 API requests; 10 GB stored; 20 GB outbound; 5,000 emails; 2,000 AI calls.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Planning target: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$50/month = $10 hosting/traffic + $10 application/data + $10 storage/logs/email + $5 AI + $15 contingency.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Qualification: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 planning allowance, not an AWS quote; excludes tax, domain, staff, paid support, payments and dedicated search; no credits deducted.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AI sizing: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2,000 calls at 2,500 input/500 output tokens = 5 million input and 1 million output tokens; apply the selected model’s regional prices.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Authentication: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verify Cognito tier, shared account/organization allowance and separate email/federation charges; do not assume a free allowance per campus.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Spending controls: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alerts at 50%, 80% and 100%; alerts are delayed, so add request/upload/AI quotas and an AI off switch.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9 Release plan and feedback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9A Build order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Hackathon: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one demo campus; real roles and group visibility; complete issue workflow, evidence, history and one source-linked AI feature.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Campus pilot: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verified owners/invitations, Questions, moderation/appeals, file checks, retention, backups and cost tracking.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Community expansion: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Activities, Marketplace, private inquiries, participation limits and improved subscriptions.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Wider rollout: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multiple colleges and improved search after isolation, performance, support and costs are validated.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9B Acceptance checks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Access: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wrong-hostel and wrong-college users cannot retrieve posts/files/search results; personal receipts remain private even on campus-wide topics.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Workflow: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assignment, resolution, confirmation, reopening and moderation leave an attributed history; duplicates preserve originals and supporters.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AI: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cites permitted history; excludes restricted or reopened cases; failure never blocks reporting.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Reliability: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retries do not duplicate writes; test backup restoration and concurrent joins; show saving/retry states on slow networks.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Performance target: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non-AI API response time below two seconds at the 95th percentile under a defined 50-user test.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Submission: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public repository, AWS URL for Ship It, writeup with AI-tool disclosure and public/unlisted YouTube demo under three minutes.</w:t>
      </w:r>
    </w:p>
    <w:p w14:paraId="0000003E">
      <w:pPr>
        <w:pStyle w:val="Heading2"/>
        <w:keepNext/>
        <w:keepLines/>
        <w:pageBreakBefore w:val="0"/>
        <w:spacing w:after="60" w:line="252" w:lineRule="auto" w:before="120"/>
        <w:jc w:val="left"/>
        <w:rPr/>
      </w:pPr>
      <w:r>
        <w:rPr>
          <w:b/>
          <w:color w:val="000000"/>
          <w:sz w:val="22"/>
          <w:rtl w:val="0"/>
        </w:rPr>
        <w:t>9C Decisions to review next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Confirm: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launch features, roles, categories, audiences, deadlines, moderation/appeal ownership and sensitive-case policy.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Confirm: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authorized college contacts, memberships, retention, region, emergency contacts and monthly spending authority.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Design next: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database entities/queries, page map, mobile wireframes, API/file contracts, permissions, deployment and rollback.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/>
          <w:color w:val="233447"/>
          <w:sz w:val="22"/>
          <w:rtl w:val="0"/>
        </w:rPr>
        <w:t>Feedback format:</w:t>
      </w: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 xml:space="preserve"> subsection code + Keep / Change / Remove / Later + your suggested change.</w:t>
      </w:r>
    </w:p>
    <w:p w14:paraId="00000026">
      <w:pPr>
        <w:pStyle w:val="Heading1"/>
        <w:keepNext/>
        <w:keepLines/>
        <w:pageBreakBefore w:val="0"/>
        <w:spacing w:after="80" w:before="180" w:line="252" w:lineRule="auto"/>
        <w:jc w:val="left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b/>
          <w:color w:val="000000"/>
          <w:sz w:val="27"/>
          <w:rtl w:val="0"/>
        </w:rPr>
        <w:t>Sources</w:t>
      </w:r>
    </w:p>
    <w:p w14:paraId="00000027">
      <w:pPr>
        <w:keepNext w:val="0"/>
        <w:keepLines/>
        <w:pageBreakBefore w:val="0"/>
        <w:spacing w:after="60" w:line="252" w:lineRule="auto" w:before="0"/>
        <w:ind w:left="230" w:hanging="230"/>
        <w:jc w:val="left"/>
        <w:rPr>
          <w:rFonts w:ascii="Helvetica Neue" w:cs="Helvetica Neue" w:eastAsia="Helvetica Neue" w:hAnsi="Helvetica Neue"/>
        </w:rPr>
        <w:numPr>
          <w:ilvl w:val="0"/>
          <w:numId w:val="5"/>
        </w:numPr>
      </w:pP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  <w:t>Original requirements retain the detailed rationale and source notes. Official links below were checked for that document on 18 September 2026; recheck availability and pricing before deployment.</w:t>
      </w:r>
    </w:p>
    <w:p w14:paraId="00000027">
      <w:pPr>
        <w:keepNext w:val="0"/>
        <w:keepLines/>
        <w:pageBreakBefore w:val="0"/>
        <w:spacing w:after="60" w:line="252" w:lineRule="auto" w:before="0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</w:r>
      <w:hyperlink r:id="rId7">
        <w:r>
          <w:rPr>
            <w:color w:val="245b82"/>
            <w:sz w:val="18"/>
          </w:rPr>
          <w:t>Bedrock pricing</w:t>
        </w:r>
      </w:hyperlink>
      <w:r>
        <w:rPr>
          <w:sz w:val="18"/>
        </w:rPr>
        <w:t xml:space="preserve">  |  </w:t>
      </w:r>
      <w:hyperlink r:id="rId14">
        <w:r>
          <w:rPr>
            <w:color w:val="245b82"/>
            <w:sz w:val="18"/>
          </w:rPr>
          <w:t>Nova models</w:t>
        </w:r>
      </w:hyperlink>
      <w:r>
        <w:rPr>
          <w:sz w:val="18"/>
        </w:rPr>
        <w:t xml:space="preserve">  |  </w:t>
      </w:r>
      <w:hyperlink r:id="rId15">
        <w:r>
          <w:rPr>
            <w:color w:val="245b82"/>
            <w:sz w:val="18"/>
          </w:rPr>
          <w:t>Retrieval access control</w:t>
        </w:r>
      </w:hyperlink>
      <w:r>
        <w:rPr>
          <w:sz w:val="18"/>
        </w:rPr>
        <w:t xml:space="preserve">  |  </w:t>
      </w:r>
      <w:hyperlink r:id="rId16">
        <w:r>
          <w:rPr>
            <w:color w:val="245b82"/>
            <w:sz w:val="18"/>
          </w:rPr>
          <w:t>Cognito</w:t>
        </w:r>
      </w:hyperlink>
      <w:r>
        <w:rPr>
          <w:sz w:val="18"/>
        </w:rPr>
        <w:t xml:space="preserve">  |  </w:t>
      </w:r>
      <w:hyperlink r:id="rId17">
        <w:r>
          <w:rPr>
            <w:color w:val="245b82"/>
            <w:sz w:val="18"/>
          </w:rPr>
          <w:t>DynamoDB</w:t>
        </w:r>
      </w:hyperlink>
    </w:p>
    <w:p w14:paraId="00000027">
      <w:pPr>
        <w:keepNext w:val="0"/>
        <w:keepLines/>
        <w:pageBreakBefore w:val="0"/>
        <w:spacing w:after="60" w:line="252" w:lineRule="auto" w:before="0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b w:val="0"/>
          <w:color w:val="233447"/>
          <w:sz w:val="22"/>
          <w:rtl w:val="0"/>
        </w:rPr>
      </w:r>
      <w:hyperlink r:id="rId18">
        <w:r>
          <w:rPr>
            <w:color w:val="245b82"/>
            <w:sz w:val="18"/>
          </w:rPr>
          <w:t>S3</w:t>
        </w:r>
      </w:hyperlink>
      <w:r>
        <w:rPr>
          <w:sz w:val="18"/>
        </w:rPr>
        <w:t xml:space="preserve">  |  </w:t>
      </w:r>
      <w:hyperlink r:id="rId19">
        <w:r>
          <w:rPr>
            <w:color w:val="245b82"/>
            <w:sz w:val="18"/>
          </w:rPr>
          <w:t>Lambda</w:t>
        </w:r>
      </w:hyperlink>
      <w:r>
        <w:rPr>
          <w:sz w:val="18"/>
        </w:rPr>
        <w:t xml:space="preserve">  |  </w:t>
      </w:r>
      <w:hyperlink r:id="rId20">
        <w:r>
          <w:rPr>
            <w:color w:val="245b82"/>
            <w:sz w:val="18"/>
          </w:rPr>
          <w:t>API Gateway</w:t>
        </w:r>
      </w:hyperlink>
      <w:r>
        <w:rPr>
          <w:sz w:val="18"/>
        </w:rPr>
        <w:t xml:space="preserve">  |  </w:t>
      </w:r>
      <w:hyperlink r:id="rId21">
        <w:r>
          <w:rPr>
            <w:color w:val="245b82"/>
            <w:sz w:val="18"/>
          </w:rPr>
          <w:t>Budget alerts</w:t>
        </w:r>
      </w:hyperlink>
      <w:r>
        <w:rPr>
          <w:sz w:val="18"/>
        </w:rPr>
        <w:t xml:space="preserve">  |  </w:t>
      </w:r>
      <w:hyperlink r:id="rId22">
        <w:r>
          <w:rPr>
            <w:color w:val="245b82"/>
            <w:sz w:val="18"/>
          </w:rPr>
          <w:t>Event rules</w:t>
        </w:r>
      </w:hyperlink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CampusFix | Requirements review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abstractNum w:abstractNumId="5">
    <w:lvl w:ilvl="0">
      <w:start w:val="1"/>
      <w:numFmt w:val="bullet"/>
      <w:lvlText w:val="•"/>
      <w:lvlJc w:val="left"/>
      <w:pPr>
        <w:ind w:left="220" w:hanging="220"/>
      </w:pPr>
    </w:lvl>
  </w:abstract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hyperlink" Target="https://aws.amazon.com/bedrock/pricing/" TargetMode="External"/><Relationship Id="rId14" Type="http://schemas.openxmlformats.org/officeDocument/2006/relationships/hyperlink" Target="https://docs.aws.amazon.com/nova/latest/userguide/what-is-nova.html" TargetMode="External"/><Relationship Id="rId15" Type="http://schemas.openxmlformats.org/officeDocument/2006/relationships/hyperlink" Target="https://aws.amazon.com/blogs/machine-learning/access-control-for-vector-stores-using-metadata-filtering-with-knowledge-bases-for-amazon-bedrock/" TargetMode="External"/><Relationship Id="rId16" Type="http://schemas.openxmlformats.org/officeDocument/2006/relationships/hyperlink" Target="https://aws.amazon.com/cognito/pricing/" TargetMode="External"/><Relationship Id="rId17" Type="http://schemas.openxmlformats.org/officeDocument/2006/relationships/hyperlink" Target="https://aws.amazon.com/dynamodb/pricing/" TargetMode="External"/><Relationship Id="rId18" Type="http://schemas.openxmlformats.org/officeDocument/2006/relationships/hyperlink" Target="https://aws.amazon.com/s3/pricing/" TargetMode="External"/><Relationship Id="rId19" Type="http://schemas.openxmlformats.org/officeDocument/2006/relationships/hyperlink" Target="https://aws.amazon.com/lambda/pricing/" TargetMode="External"/><Relationship Id="rId20" Type="http://schemas.openxmlformats.org/officeDocument/2006/relationships/hyperlink" Target="https://aws.amazon.com/api-gateway/pricing/" TargetMode="External"/><Relationship Id="rId21" Type="http://schemas.openxmlformats.org/officeDocument/2006/relationships/hyperlink" Target="https://docs.aws.amazon.com/cost-management/latest/userguide/budgets-managing-costs.html" TargetMode="External"/><Relationship Id="rId22" Type="http://schemas.openxmlformats.org/officeDocument/2006/relationships/hyperlink" Target="https://www.wemakedevs.org/aws/first-commit/rule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