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Detection-Guided Semantic 3D Phenotyping of Cotton Bolls from UAV Imagery Before and After Defoliation</w:t>
      </w:r>
    </w:p>
    <w:p>
      <w:pPr>
        <w:jc w:val="center"/>
      </w:pPr>
      <w:r>
        <w:rPr>
          <w:sz w:val="22"/>
        </w:rPr>
        <w:t>Harshitha Manjunatha; co-authors to be added</w:t>
      </w:r>
    </w:p>
    <w:p>
      <w:pPr>
        <w:jc w:val="center"/>
      </w:pPr>
      <w:r>
        <w:rPr>
          <w:i/>
        </w:rPr>
        <w:t>Affiliations and corresponding-author email to be added</w:t>
      </w:r>
    </w:p>
    <w:p>
      <w:pPr>
        <w:pStyle w:val="Heading1"/>
      </w:pPr>
      <w:r>
        <w:t>Abstract</w:t>
      </w:r>
    </w:p>
    <w:p>
      <w:r>
        <w:t>Cotton boll phenotyping from unmanned aerial vehicle (UAV) imagery is often treated as a two-dimensional detection or counting problem, although agronomic decisions often depend on organ-level morphology and visibility. This manuscript develops a detection-guided 3D phenotyping framework that uses weak boll detections, mask refinement, camera geometry, semantic feature correspondence, and multi-view association to estimate boll count, 3D location, diameter, volume, visibility, and occlusion before and after defoliation. The paired pre- and post-defoliation flights provide a controlled visibility intervention for quantifying how defoliation changes recoverability and measurement stability. Final experiments will report correspondence quality, reconstruction quality, boll recovery, morphology accuracy, and robustness across reconstruction and association settings.</w:t>
      </w:r>
    </w:p>
    <w:p>
      <w:r>
        <w:t>Keywords: precision agriculture; cotton phenotyping; UAV imagery; 3D reconstruction; boll morphology; semantic correspondence; defoliation</w:t>
      </w:r>
    </w:p>
    <w:p>
      <w:pPr>
        <w:pStyle w:val="Heading1"/>
      </w:pPr>
      <w:r>
        <w:t>1 Introduction</w:t>
      </w:r>
    </w:p>
    <w:p>
      <w:r>
        <w:t>This section should motivate why cotton boll analysis must move beyond 2D counting while also avoiding overclaims. Prior UAV cotton reconstruction and Cotton3DGaussians already show that cotton bolls can be reconstructed in 3D under suitable capture conditions. The introduction should therefore frame this paper around a narrower and stronger gap: paired pre- and post-defoliation UAV imagery, visibility-conditioned boll morphology, and detection-guided semantic association under field-scale occlusion.</w:t>
      </w:r>
    </w:p>
    <w:p>
      <w:r>
        <w:t>Proposed contribution wording: (i) a paired pre/post-defoliation UAV protocol for visibility-aware cotton boll phenotyping; (ii) detection-guided semantic multi-view association that reduces dense annotation; (iii) high-confidence boll morphology estimates including 3D center, diameter or length proxy, volume proxy, visibility, and occlusion; (iv) a field-scale reconstruction viewer with semantic boll anchors; and (v) an evaluated MoE/LLM reporting layer that converts measured morphology into structured agronomic recommendations without computing the geometry.</w:t>
      </w:r>
    </w:p>
    <w:p>
      <w:pPr>
        <w:ind w:left="288" w:right="288"/>
      </w:pPr>
      <w:r>
        <w:rPr>
          <w:b/>
          <w:color w:val="1F4E79"/>
          <w:sz w:val="20"/>
        </w:rPr>
        <w:t xml:space="preserve">Writing target: </w:t>
      </w:r>
      <w:r>
        <w:rPr>
          <w:sz w:val="20"/>
        </w:rPr>
        <w:t>Use objective, past-tense technical prose. Avoid claiming perfect field-scale reconstruction; claim measured high-confidence morphology.</w:t>
      </w:r>
    </w:p>
    <w:p>
      <w:pPr>
        <w:pStyle w:val="Heading1"/>
      </w:pPr>
      <w:r>
        <w:t>2 Related Work</w:t>
      </w:r>
    </w:p>
    <w:p>
      <w:r>
        <w:t>Organize this section around four threads: cotton boll detection and yield estimation; 3D plant phenotyping; foundation-model features for correspondence; and promptable segmentation. The closest prior work must be treated directly, especially UAV-based cotton boll 3D reconstruction and Cotton3DGaussians.</w:t>
      </w:r>
    </w:p>
    <w:p>
      <w:pPr>
        <w:spacing w:before="60" w:after="180"/>
      </w:pPr>
      <w:r>
        <w:rPr>
          <w:b/>
        </w:rPr>
        <w:t>Table 1</w:t>
      </w:r>
      <w:r>
        <w:t xml:space="preserve"> Closest-prior contrast. The final manuscript should cite the two near papers directly and avoid claiming novelty from generic 3D reconstruction alone.</w:t>
      </w:r>
    </w:p>
    <w:p>
      <w:pPr>
        <w:ind w:left="288"/>
      </w:pPr>
      <w:r>
        <w:rPr>
          <w:b/>
          <w:sz w:val="18"/>
        </w:rPr>
        <w:t>Columns: Work | Capture | 3D method | Boll traits | Gap left for this paper</w:t>
      </w:r>
    </w:p>
    <w:p>
      <w:pPr>
        <w:spacing w:after="20"/>
        <w:ind w:left="504"/>
      </w:pPr>
      <w:r>
        <w:rPr>
          <w:sz w:val="18"/>
        </w:rPr>
        <w:t>UAV cotton 3D reconstruction | UAV CCO/nadir | Photogrammetric point cloud | Count, volume, yield relation | No paired pre/post visibility intervention or semantic association focus</w:t>
      </w:r>
    </w:p>
    <w:p>
      <w:pPr>
        <w:spacing w:after="20"/>
        <w:ind w:left="504"/>
      </w:pPr>
      <w:r>
        <w:rPr>
          <w:sz w:val="18"/>
        </w:rPr>
        <w:t>Cotton3DGaussians | Single-plant 360 smartphone | 3D Gaussian Splatting + mask projection | Count, volume, plant architecture | Not field-scale paired UAV defoliation; no MoE reporting evaluation</w:t>
      </w:r>
    </w:p>
    <w:p>
      <w:pPr>
        <w:spacing w:after="20"/>
        <w:ind w:left="504"/>
      </w:pPr>
      <w:r>
        <w:rPr>
          <w:sz w:val="18"/>
        </w:rPr>
        <w:t>This work | Paired pre/post UAV | Detection-guided geometry/3DGS + semantic association | Count, center, diameter/length proxy, volume proxy, visibility | Visibility-aware field-scale morphology under defoliation</w:t>
      </w:r>
    </w:p>
    <w:p>
      <w:pPr>
        <w:pStyle w:val="Heading1"/>
      </w:pPr>
      <w:r>
        <w:t>3 Method</w:t>
      </w:r>
    </w:p>
    <w:p>
      <w:r>
        <w:t>The method section should be modular: dataset audit, 2D detector prior, mask refinement, camera geometry or 3D Gaussian Splatting, DINOv2 correspondence, multi-view association, 3D localization, and morphology extraction. The LLM/reporting component should remain optional and downstream.</w:t>
      </w:r>
    </w:p>
    <w:p>
      <w:pPr>
        <w:spacing w:before="60" w:after="180"/>
      </w:pPr>
      <w:r>
        <w:rPr>
          <w:b/>
        </w:rPr>
        <w:t>Table 2</w:t>
      </w:r>
      <w:r>
        <w:t xml:space="preserve"> Architecture modules and expected outputs. This table should stay early in the method section to keep the system readable.</w:t>
      </w:r>
    </w:p>
    <w:p>
      <w:pPr>
        <w:ind w:left="288"/>
      </w:pPr>
      <w:r>
        <w:rPr>
          <w:b/>
          <w:sz w:val="18"/>
        </w:rPr>
        <w:t>Columns: Module | Input | Output | Purpose</w:t>
      </w:r>
    </w:p>
    <w:p>
      <w:pPr>
        <w:spacing w:after="20"/>
        <w:ind w:left="504"/>
      </w:pPr>
      <w:r>
        <w:rPr>
          <w:sz w:val="18"/>
        </w:rPr>
        <w:t>Dataset audit | Raw UAV folders | Clean manifest | Prevent leakage and duplicate-frame confusion</w:t>
      </w:r>
    </w:p>
    <w:p>
      <w:pPr>
        <w:spacing w:after="20"/>
        <w:ind w:left="504"/>
      </w:pPr>
      <w:r>
        <w:rPr>
          <w:sz w:val="18"/>
        </w:rPr>
        <w:t>2D detection | RGB image | Boxes, centers, count prior | Reuse prior accepted counting work</w:t>
      </w:r>
    </w:p>
    <w:p>
      <w:pPr>
        <w:spacing w:after="20"/>
        <w:ind w:left="504"/>
      </w:pPr>
      <w:r>
        <w:rPr>
          <w:sz w:val="18"/>
        </w:rPr>
        <w:t>Mask refinement | Boxes/centers | Approx. silhouettes | Support geometry and size estimation</w:t>
      </w:r>
    </w:p>
    <w:p>
      <w:pPr>
        <w:spacing w:after="20"/>
        <w:ind w:left="504"/>
      </w:pPr>
      <w:r>
        <w:rPr>
          <w:sz w:val="18"/>
        </w:rPr>
        <w:t>Geometry | Image sequence | Camera poses, point cloud | Establish metric 3D frame</w:t>
      </w:r>
    </w:p>
    <w:p>
      <w:pPr>
        <w:spacing w:after="20"/>
        <w:ind w:left="504"/>
      </w:pPr>
      <w:r>
        <w:rPr>
          <w:sz w:val="18"/>
        </w:rPr>
        <w:t>3DGS/viewer | Poses and images | Gaussian/point scene | Visualize and compare reconstruction quality</w:t>
      </w:r>
    </w:p>
    <w:p>
      <w:pPr>
        <w:spacing w:after="20"/>
        <w:ind w:left="504"/>
      </w:pPr>
      <w:r>
        <w:rPr>
          <w:sz w:val="18"/>
        </w:rPr>
        <w:t>Association | Detections, poses, features | Boll tracks | Link same boll across views</w:t>
      </w:r>
    </w:p>
    <w:p>
      <w:pPr>
        <w:spacing w:after="20"/>
        <w:ind w:left="504"/>
      </w:pPr>
      <w:r>
        <w:rPr>
          <w:sz w:val="18"/>
        </w:rPr>
        <w:t>Morphology | 3D tracks | Diameter/length, volume, visibility | Deliver high-confidence phenotyping measurements</w:t>
      </w:r>
    </w:p>
    <w:p>
      <w:pPr>
        <w:spacing w:after="20"/>
        <w:ind w:left="504"/>
      </w:pPr>
      <w:r>
        <w:rPr>
          <w:sz w:val="18"/>
        </w:rPr>
        <w:t>MoE reporting | Morphology JSON | Structured report | Evaluate decision support without changing geometry</w:t>
      </w:r>
    </w:p>
    <w:p>
      <w:pPr>
        <w:ind w:left="288" w:right="288"/>
      </w:pPr>
      <w:r>
        <w:rPr>
          <w:b/>
          <w:color w:val="1F4E79"/>
          <w:sz w:val="20"/>
        </w:rPr>
        <w:t xml:space="preserve">Measurement boundary: </w:t>
      </w:r>
      <w:r>
        <w:rPr>
          <w:sz w:val="20"/>
        </w:rPr>
        <w:t>Report diameter, length, and volume only for high-confidence bolls with sufficient view support, scale calibration, and mask consistency. Whole-field morphology should include coverage and uncertainty.</w:t>
      </w:r>
    </w:p>
    <w:p>
      <w:pPr>
        <w:pStyle w:val="Heading1"/>
      </w:pPr>
      <w:r>
        <w:t>4 Experiments</w:t>
      </w:r>
    </w:p>
    <w:p>
      <w:r>
        <w:t>The experiments should resemble a strong computer-vision paper: main result, robustness grid, component ablation, pre/post defoliation comparison, qualitative reconstruction figure, and failure analysis.</w:t>
      </w:r>
    </w:p>
    <w:p>
      <w:pPr>
        <w:spacing w:before="60" w:after="180"/>
      </w:pPr>
      <w:r>
        <w:rPr>
          <w:b/>
        </w:rPr>
        <w:t>Table 3</w:t>
      </w:r>
      <w:r>
        <w:t xml:space="preserve"> Main reconstruction and boll recovery comparison. Replace TBD values only with measured results.</w:t>
      </w:r>
    </w:p>
    <w:p>
      <w:pPr>
        <w:ind w:left="288"/>
      </w:pPr>
      <w:r>
        <w:rPr>
          <w:b/>
          <w:sz w:val="18"/>
        </w:rPr>
        <w:t>Columns: Category | Method | Registered | Points (K) | RC up | BRR up</w:t>
      </w:r>
    </w:p>
    <w:p>
      <w:pPr>
        <w:spacing w:after="20"/>
        <w:ind w:left="504"/>
      </w:pPr>
      <w:r>
        <w:rPr>
          <w:sz w:val="18"/>
        </w:rPr>
        <w:t>Classical | COLMAP-SIFT Pre | TBD | TBD | TBD | TBD</w:t>
      </w:r>
    </w:p>
    <w:p>
      <w:pPr>
        <w:spacing w:after="20"/>
        <w:ind w:left="504"/>
      </w:pPr>
      <w:r>
        <w:rPr>
          <w:sz w:val="18"/>
        </w:rPr>
        <w:t>Classical | COLMAP-SIFT Post | TBD | TBD | TBD | TBD</w:t>
      </w:r>
    </w:p>
    <w:p>
      <w:pPr>
        <w:spacing w:after="20"/>
        <w:ind w:left="504"/>
      </w:pPr>
      <w:r>
        <w:rPr>
          <w:sz w:val="18"/>
        </w:rPr>
        <w:t>Foundation | DUSt3R/MASt3R subset | TBD | TBD | TBD | TBD</w:t>
      </w:r>
    </w:p>
    <w:p>
      <w:pPr>
        <w:spacing w:after="20"/>
        <w:ind w:left="504"/>
      </w:pPr>
      <w:r>
        <w:rPr>
          <w:sz w:val="18"/>
        </w:rPr>
        <w:t>Ours | Detection + COLMAP | TBD | TBD | TBD | TBD</w:t>
      </w:r>
    </w:p>
    <w:p>
      <w:pPr>
        <w:spacing w:after="20"/>
        <w:ind w:left="504"/>
      </w:pPr>
      <w:r>
        <w:rPr>
          <w:sz w:val="18"/>
        </w:rPr>
        <w:t>Ours | Detection + COLMAP + DINOv2 | TBD | TBD | TBD | TBD</w:t>
      </w:r>
    </w:p>
    <w:p>
      <w:pPr>
        <w:spacing w:before="60" w:after="180"/>
      </w:pPr>
      <w:r>
        <w:rPr>
          <w:b/>
        </w:rPr>
        <w:t>Table 4</w:t>
      </w:r>
      <w:r>
        <w:t xml:space="preserve"> Robustness grid for detection-guided 3D boll phenotyping.</w:t>
      </w:r>
    </w:p>
    <w:p>
      <w:pPr>
        <w:ind w:left="288"/>
      </w:pPr>
      <w:r>
        <w:rPr>
          <w:b/>
          <w:sz w:val="18"/>
        </w:rPr>
        <w:t>Columns: Block | Variant | BRR up | Diam. MAE | Vol. err. | Visibility</w:t>
      </w:r>
    </w:p>
    <w:p>
      <w:pPr>
        <w:spacing w:after="20"/>
        <w:ind w:left="504"/>
      </w:pPr>
      <w:r>
        <w:rPr>
          <w:sz w:val="18"/>
        </w:rPr>
        <w:t>Detector | Classical prior | TBD | TBD | TBD | TBD</w:t>
      </w:r>
    </w:p>
    <w:p>
      <w:pPr>
        <w:spacing w:after="20"/>
        <w:ind w:left="504"/>
      </w:pPr>
      <w:r>
        <w:rPr>
          <w:sz w:val="18"/>
        </w:rPr>
        <w:t>Detector | Prior + SAM prompt | TBD | TBD | TBD | TBD</w:t>
      </w:r>
    </w:p>
    <w:p>
      <w:pPr>
        <w:spacing w:after="20"/>
        <w:ind w:left="504"/>
      </w:pPr>
      <w:r>
        <w:rPr>
          <w:sz w:val="18"/>
        </w:rPr>
        <w:t>Features | SIFT only | TBD | TBD | TBD | TBD</w:t>
      </w:r>
    </w:p>
    <w:p>
      <w:pPr>
        <w:spacing w:after="20"/>
        <w:ind w:left="504"/>
      </w:pPr>
      <w:r>
        <w:rPr>
          <w:sz w:val="18"/>
        </w:rPr>
        <w:t>Features | DINOv2-S/14 | TBD | TBD | TBD | TBD</w:t>
      </w:r>
    </w:p>
    <w:p>
      <w:pPr>
        <w:spacing w:after="20"/>
        <w:ind w:left="504"/>
      </w:pPr>
      <w:r>
        <w:rPr>
          <w:sz w:val="18"/>
        </w:rPr>
        <w:t>Features | DINOv2-B/14 | TBD | TBD | TBD | TBD</w:t>
      </w:r>
    </w:p>
    <w:p>
      <w:pPr>
        <w:spacing w:after="20"/>
        <w:ind w:left="504"/>
      </w:pPr>
      <w:r>
        <w:rPr>
          <w:sz w:val="18"/>
        </w:rPr>
        <w:t>Features | DINOv2-L/14 | TBD | TBD | TBD | TBD</w:t>
      </w:r>
    </w:p>
    <w:p>
      <w:pPr>
        <w:spacing w:after="20"/>
        <w:ind w:left="504"/>
      </w:pPr>
      <w:r>
        <w:rPr>
          <w:sz w:val="18"/>
        </w:rPr>
        <w:t>Association | Geometry only | TBD | TBD | TBD | TBD</w:t>
      </w:r>
    </w:p>
    <w:p>
      <w:pPr>
        <w:spacing w:after="20"/>
        <w:ind w:left="504"/>
      </w:pPr>
      <w:r>
        <w:rPr>
          <w:sz w:val="18"/>
        </w:rPr>
        <w:t>Association | Geometry + semantic + mask | TBD | TBD | TBD | TBD</w:t>
      </w:r>
    </w:p>
    <w:p>
      <w:pPr>
        <w:spacing w:before="60" w:after="180"/>
      </w:pPr>
      <w:r>
        <w:rPr>
          <w:b/>
        </w:rPr>
        <w:t>Table 5</w:t>
      </w:r>
      <w:r>
        <w:t xml:space="preserve"> Pre- and post-defoliation morphology statistics.</w:t>
      </w:r>
    </w:p>
    <w:p>
      <w:pPr>
        <w:ind w:left="288"/>
      </w:pPr>
      <w:r>
        <w:rPr>
          <w:b/>
          <w:sz w:val="18"/>
        </w:rPr>
        <w:t>Columns: Trait | Pre mean +/- SD | Post mean +/- SD | Delta | Coverage | p</w:t>
      </w:r>
    </w:p>
    <w:p>
      <w:pPr>
        <w:spacing w:after="20"/>
        <w:ind w:left="504"/>
      </w:pPr>
      <w:r>
        <w:rPr>
          <w:sz w:val="18"/>
        </w:rPr>
        <w:t>Boll count | TBD | TBD | TBD | TBD | TBD</w:t>
      </w:r>
    </w:p>
    <w:p>
      <w:pPr>
        <w:spacing w:after="20"/>
        <w:ind w:left="504"/>
      </w:pPr>
      <w:r>
        <w:rPr>
          <w:sz w:val="18"/>
        </w:rPr>
        <w:t>3D recovered bolls | TBD | TBD | TBD | TBD | TBD</w:t>
      </w:r>
    </w:p>
    <w:p>
      <w:pPr>
        <w:spacing w:after="20"/>
        <w:ind w:left="504"/>
      </w:pPr>
      <w:r>
        <w:rPr>
          <w:sz w:val="18"/>
        </w:rPr>
        <w:t>Diameter (mm) | TBD | TBD | TBD | TBD | TBD</w:t>
      </w:r>
    </w:p>
    <w:p>
      <w:pPr>
        <w:spacing w:after="20"/>
        <w:ind w:left="504"/>
      </w:pPr>
      <w:r>
        <w:rPr>
          <w:sz w:val="18"/>
        </w:rPr>
        <w:t>Length (mm) | TBD | TBD | TBD | TBD | TBD</w:t>
      </w:r>
    </w:p>
    <w:p>
      <w:pPr>
        <w:spacing w:after="20"/>
        <w:ind w:left="504"/>
      </w:pPr>
      <w:r>
        <w:rPr>
          <w:sz w:val="18"/>
        </w:rPr>
        <w:t>Volume (mm3) | TBD | TBD | TBD | TBD | TBD</w:t>
      </w:r>
    </w:p>
    <w:p>
      <w:pPr>
        <w:spacing w:after="20"/>
        <w:ind w:left="504"/>
      </w:pPr>
      <w:r>
        <w:rPr>
          <w:sz w:val="18"/>
        </w:rPr>
        <w:t>Visibility | TBD | TBD | TBD | TBD | TBD</w:t>
      </w:r>
    </w:p>
    <w:p>
      <w:pPr>
        <w:spacing w:after="20"/>
        <w:ind w:left="504"/>
      </w:pPr>
      <w:r>
        <w:rPr>
          <w:sz w:val="18"/>
        </w:rPr>
        <w:t>Occlusion | TBD | TBD | TBD | TBD | TBD</w:t>
      </w:r>
    </w:p>
    <w:p>
      <w:pPr>
        <w:spacing w:before="60" w:after="180"/>
      </w:pPr>
      <w:r>
        <w:rPr>
          <w:b/>
        </w:rPr>
        <w:t>Table 6</w:t>
      </w:r>
      <w:r>
        <w:t xml:space="preserve"> MoE/LLM agronomic reporting ablation. The LLM receives only measured morphology JSON and is evaluated separately from geometry.</w:t>
      </w:r>
    </w:p>
    <w:p>
      <w:pPr>
        <w:ind w:left="288"/>
      </w:pPr>
      <w:r>
        <w:rPr>
          <w:b/>
          <w:sz w:val="18"/>
        </w:rPr>
        <w:t>Columns: Model family | Model | Schema | Faithful | Unsupported | Latency</w:t>
      </w:r>
    </w:p>
    <w:p>
      <w:pPr>
        <w:spacing w:after="20"/>
        <w:ind w:left="504"/>
      </w:pPr>
      <w:r>
        <w:rPr>
          <w:sz w:val="18"/>
        </w:rPr>
        <w:t>Dense reasoning | Qwen3-32B | TBD | TBD | TBD | TBD</w:t>
      </w:r>
    </w:p>
    <w:p>
      <w:pPr>
        <w:spacing w:after="20"/>
        <w:ind w:left="504"/>
      </w:pPr>
      <w:r>
        <w:rPr>
          <w:sz w:val="18"/>
        </w:rPr>
        <w:t>MoE reasoning | Qwen3-30B-A3B | TBD | TBD | TBD | TBD</w:t>
      </w:r>
    </w:p>
    <w:p>
      <w:pPr>
        <w:spacing w:after="20"/>
        <w:ind w:left="504"/>
      </w:pPr>
      <w:r>
        <w:rPr>
          <w:sz w:val="18"/>
        </w:rPr>
        <w:t>Classic MoE | Mixtral/DeepSeek MoE | TBD | TBD | TBD | TBD</w:t>
      </w:r>
    </w:p>
    <w:p>
      <w:pPr>
        <w:spacing w:after="20"/>
        <w:ind w:left="504"/>
      </w:pPr>
      <w:r>
        <w:rPr>
          <w:sz w:val="18"/>
        </w:rPr>
        <w:t>Agriculture | AgriLLaMA-7B | TBD | TBD | TBD | TBD</w:t>
      </w:r>
    </w:p>
    <w:p>
      <w:pPr>
        <w:spacing w:after="20"/>
        <w:ind w:left="504"/>
      </w:pPr>
      <w:r>
        <w:rPr>
          <w:sz w:val="18"/>
        </w:rPr>
        <w:t>Multimodal | Gemma/Mistral/InternVL | TBD | TBD | TBD | TBD</w:t>
      </w:r>
    </w:p>
    <w:p>
      <w:pPr>
        <w:pStyle w:val="Heading1"/>
      </w:pPr>
      <w:r>
        <w:t>5 Discussion</w:t>
      </w:r>
    </w:p>
    <w:p>
      <w:r>
        <w:t>Discuss what was reliable, what failed, and what must be treated as high-confidence subset morphology rather than whole-field perfect reconstruction. This is where duplicate frames, wind, weak baselines, scale uncertainty, and repeated white lint texture should be handled frankly.</w:t>
      </w:r>
    </w:p>
    <w:p>
      <w:r>
        <w:t>The discussion should explicitly state how the work differs from the two closest references: the UAV CCO paper establishes field-scale 3D cotton boll point-cloud phenotyping, and Cotton3DGaussians establishes single-plant 3DGS with mask projection. The present work should be defended through the paired defoliation protocol, visibility-conditioned morphology, semantic association, and evaluated MoE reporting loop.</w:t>
      </w:r>
    </w:p>
    <w:p>
      <w:pPr>
        <w:pStyle w:val="Heading1"/>
      </w:pPr>
      <w:r>
        <w:t>6 Conclusion</w:t>
      </w:r>
    </w:p>
    <w:p>
      <w:r>
        <w:t>Conclude with the verified contribution: detection-guided semantic 3D phenotyping of cotton bolls, evaluated before and after defoliation, with measured count, location, diameter, volume, visibility, and occlusion.</w:t>
      </w:r>
    </w:p>
    <w:p>
      <w:pPr>
        <w:pStyle w:val="Heading1"/>
      </w:pPr>
      <w:r>
        <w:t>References</w:t>
      </w:r>
    </w:p>
    <w:p>
      <w:r>
        <w:t>Use author-year references following the ICPA/Precision Agriculture guidance. Include only cited and verified published or accepted works.</w:t>
      </w:r>
    </w:p>
    <w:p>
      <w:pPr>
        <w:ind w:left="288" w:right="288"/>
      </w:pPr>
      <w:r>
        <w:rPr>
          <w:b/>
          <w:color w:val="1F4E79"/>
          <w:sz w:val="20"/>
        </w:rPr>
        <w:t xml:space="preserve">ICPA format checkpoint: </w:t>
      </w:r>
      <w:r>
        <w:rPr>
          <w:sz w:val="20"/>
        </w:rPr>
        <w:t>The 2026 full-paper instruction PDF requires Microsoft Word, camera-ready inline figures and tables, a maximum of 15 pages including references, and a conservative manuscript deadline of 22 May 2026.</w:t>
      </w:r>
    </w:p>
    <w:sectPr w:rsidR="00FC693F" w:rsidRPr="0006063C" w:rsidSect="00034616">
      <w:pgSz w:w="12240" w:h="15840"/>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