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Mask-Guided 3D Cotton Boll Reconstruction for Pre- and Post-Defoliation Phenotyping</w:t>
      </w:r>
    </w:p>
    <w:p>
      <w:pPr>
        <w:spacing w:after="80"/>
        <w:jc w:val="center"/>
      </w:pPr>
      <w:r>
        <w:rPr>
          <w:i w:val="0"/>
        </w:rPr>
        <w:t>Author names and affiliations to be inserted after co-author confirmation.</w:t>
      </w:r>
    </w:p>
    <w:p>
      <w:pPr>
        <w:spacing w:after="80"/>
        <w:jc w:val="center"/>
      </w:pPr>
      <w:r>
        <w:rPr>
          <w:i w:val="0"/>
        </w:rPr>
        <w:t>Corresponding author: to be inserted.</w:t>
      </w:r>
    </w:p>
    <w:p>
      <w:pPr>
        <w:spacing w:after="80"/>
      </w:pPr>
      <w:r>
        <w:rPr>
          <w:i w:val="0"/>
        </w:rPr>
        <w:t>Keywords: cotton phenotyping; UAV imagery; 3D reconstruction; promptable segmentation; defoliation; precision agriculture</w:t>
      </w:r>
    </w:p>
    <w:p>
      <w:pPr>
        <w:pStyle w:val="Heading1"/>
      </w:pPr>
      <w:r>
        <w:t>Abstract</w:t>
      </w:r>
    </w:p>
    <w:p>
      <w:pPr>
        <w:spacing w:after="80"/>
      </w:pPr>
      <w:r>
        <w:rPr>
          <w:i w:val="0"/>
        </w:rP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Heading1"/>
      </w:pPr>
      <w:r>
        <w:t>1 Introduction</w:t>
      </w:r>
    </w:p>
    <w:p>
      <w:pPr>
        <w:spacing w:after="8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8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8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8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40"/>
      </w:pPr>
      <w:r>
        <w:t>A pre/post-defoliation formulation that treats defoliation as a visibility intervention for cotton boll phenotyping.</w:t>
      </w:r>
    </w:p>
    <w:p>
      <w:pPr>
        <w:pStyle w:val="ListBullet"/>
        <w:spacing w:after="40"/>
      </w:pPr>
      <w:r>
        <w:t>A detector-prompted mask extraction stage that turns raw boll detections into measurement-ready lint candidates.</w:t>
      </w:r>
    </w:p>
    <w:p>
      <w:pPr>
        <w:pStyle w:val="ListBullet"/>
        <w:spacing w:after="40"/>
      </w:pPr>
      <w:r>
        <w:t>A mask-to-3D review module that exports a highlighted boll-mask point cloud and supports visual inspection of organ-level evidence.</w:t>
      </w:r>
    </w:p>
    <w:p>
      <w:pPr>
        <w:pStyle w:val="ListBullet"/>
        <w:spacing w:after="4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8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80"/>
      </w:pPr>
      <w:r>
        <w:rPr>
          <w:i w:val="0"/>
        </w:rPr>
        <w:t>Cotton boll counting has been studied with classical image processing, supervised object detectors, and fusion strategies.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8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8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8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(Jiang et al., 2025). The distinction for this manuscript is scale and evidence: the present work starts from UAV field imagery and paired defoliation, and it treats mask-to-3D review as a measurement-support layer rather than a rendering-only objective.</w:t>
      </w:r>
    </w:p>
    <w:p>
      <w:pPr>
        <w:spacing w:before="100" w:after="40"/>
      </w:pPr>
      <w:r>
        <w:rPr>
          <w:b/>
        </w:rPr>
        <w:t xml:space="preserve">Table </w:t>
      </w:r>
      <w:r>
        <w:t>1 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b/>
                <w:sz w:val="17"/>
              </w:rPr>
              <w:t>Topic</w:t>
            </w:r>
          </w:p>
        </w:tc>
        <w:tc>
          <w:tcPr>
            <w:tcW w:type="dxa" w:w="2448"/>
            <w:shd w:fill="EDEDED"/>
            <w:vAlign w:val="center"/>
          </w:tcPr>
          <w:p>
            <w:pPr>
              <w:spacing w:after="0"/>
            </w:pPr>
            <w:r/>
            <w:r>
              <w:rPr>
                <w:b/>
                <w:sz w:val="17"/>
              </w:rPr>
              <w:t>Representative source</w:t>
            </w:r>
          </w:p>
        </w:tc>
        <w:tc>
          <w:tcPr>
            <w:tcW w:type="dxa" w:w="2592"/>
            <w:shd w:fill="EDEDED"/>
            <w:vAlign w:val="center"/>
          </w:tcPr>
          <w:p>
            <w:pPr>
              <w:spacing w:after="0"/>
            </w:pPr>
            <w:r/>
            <w:r>
              <w:rPr>
                <w:b/>
                <w:sz w:val="17"/>
              </w:rPr>
              <w:t>What it contributes</w:t>
            </w:r>
          </w:p>
        </w:tc>
        <w:tc>
          <w:tcPr>
            <w:tcW w:type="dxa" w:w="2880"/>
            <w:shd w:fill="EDEDED"/>
            <w:vAlign w:val="center"/>
          </w:tcPr>
          <w:p>
            <w:pPr>
              <w:spacing w:after="0"/>
            </w:pPr>
            <w:r/>
            <w:r>
              <w:rPr>
                <w:b/>
                <w:sz w:val="17"/>
              </w:rPr>
              <w:t>Remaining gap</w:t>
            </w:r>
          </w:p>
        </w:tc>
      </w:tr>
      <w:tr>
        <w:tc>
          <w:tcPr>
            <w:tcW w:type="dxa" w:w="1440"/>
            <w:vAlign w:val="center"/>
          </w:tcPr>
          <w:p>
            <w:pPr>
              <w:spacing w:after="0"/>
            </w:pPr>
            <w:r/>
            <w:r>
              <w:rPr>
                <w:b w:val="0"/>
                <w:sz w:val="17"/>
              </w:rPr>
              <w:t>SfM/MVS</w:t>
            </w:r>
          </w:p>
        </w:tc>
        <w:tc>
          <w:tcPr>
            <w:tcW w:type="dxa" w:w="2448"/>
            <w:vAlign w:val="center"/>
          </w:tcPr>
          <w:p>
            <w:pPr>
              <w:spacing w:after="0"/>
            </w:pPr>
            <w:r/>
            <w:r>
              <w:rPr>
                <w:b w:val="0"/>
                <w:sz w:val="17"/>
              </w:rPr>
              <w:t>Schoenberger and Frahm (2016); Schoenberger et al. (2016)</w:t>
            </w:r>
          </w:p>
        </w:tc>
        <w:tc>
          <w:tcPr>
            <w:tcW w:type="dxa" w:w="2592"/>
            <w:vAlign w:val="center"/>
          </w:tcPr>
          <w:p>
            <w:pPr>
              <w:spacing w:after="0"/>
            </w:pPr>
            <w:r/>
            <w:r>
              <w:rPr>
                <w:b w:val="0"/>
                <w:sz w:val="17"/>
              </w:rPr>
              <w:t>Classical camera pose and dense reconstruction</w:t>
            </w:r>
          </w:p>
        </w:tc>
        <w:tc>
          <w:tcPr>
            <w:tcW w:type="dxa" w:w="2880"/>
            <w:vAlign w:val="center"/>
          </w:tcPr>
          <w:p>
            <w:pPr>
              <w:spacing w:after="0"/>
            </w:pPr>
            <w:r/>
            <w:r>
              <w:rPr>
                <w:b w:val="0"/>
                <w:sz w:val="17"/>
              </w:rPr>
              <w:t>Cotton lint can be low-texture and repetitive</w:t>
            </w:r>
          </w:p>
        </w:tc>
      </w:tr>
      <w:tr>
        <w:tc>
          <w:tcPr>
            <w:tcW w:type="dxa" w:w="1440"/>
            <w:vAlign w:val="center"/>
          </w:tcPr>
          <w:p>
            <w:pPr>
              <w:spacing w:after="0"/>
            </w:pPr>
            <w:r/>
            <w:r>
              <w:rPr>
                <w:b w:val="0"/>
                <w:sz w:val="17"/>
              </w:rPr>
              <w:t>Promptable masks</w:t>
            </w:r>
          </w:p>
        </w:tc>
        <w:tc>
          <w:tcPr>
            <w:tcW w:type="dxa" w:w="2448"/>
            <w:vAlign w:val="center"/>
          </w:tcPr>
          <w:p>
            <w:pPr>
              <w:spacing w:after="0"/>
            </w:pPr>
            <w:r/>
            <w:r>
              <w:rPr>
                <w:b w:val="0"/>
                <w:sz w:val="17"/>
              </w:rPr>
              <w:t>Kirillov et al. (2023); Ravi et al. (2024)</w:t>
            </w:r>
          </w:p>
        </w:tc>
        <w:tc>
          <w:tcPr>
            <w:tcW w:type="dxa" w:w="2592"/>
            <w:vAlign w:val="center"/>
          </w:tcPr>
          <w:p>
            <w:pPr>
              <w:spacing w:after="0"/>
            </w:pPr>
            <w:r/>
            <w:r>
              <w:rPr>
                <w:b w:val="0"/>
                <w:sz w:val="17"/>
              </w:rPr>
              <w:t>Box/point/video-conditioned segmentation</w:t>
            </w:r>
          </w:p>
        </w:tc>
        <w:tc>
          <w:tcPr>
            <w:tcW w:type="dxa" w:w="2880"/>
            <w:vAlign w:val="center"/>
          </w:tcPr>
          <w:p>
            <w:pPr>
              <w:spacing w:after="0"/>
            </w:pPr>
            <w:r/>
            <w:r>
              <w:rPr>
                <w:b w:val="0"/>
                <w:sz w:val="17"/>
              </w:rPr>
              <w:t>Agricultural mask accuracy needs validation</w:t>
            </w:r>
          </w:p>
        </w:tc>
      </w:tr>
      <w:tr>
        <w:tc>
          <w:tcPr>
            <w:tcW w:type="dxa" w:w="1440"/>
            <w:vAlign w:val="center"/>
          </w:tcPr>
          <w:p>
            <w:pPr>
              <w:spacing w:after="0"/>
            </w:pPr>
            <w:r/>
            <w:r>
              <w:rPr>
                <w:b w:val="0"/>
                <w:sz w:val="17"/>
              </w:rPr>
              <w:t>Neural 3D</w:t>
            </w:r>
          </w:p>
        </w:tc>
        <w:tc>
          <w:tcPr>
            <w:tcW w:type="dxa" w:w="2448"/>
            <w:vAlign w:val="center"/>
          </w:tcPr>
          <w:p>
            <w:pPr>
              <w:spacing w:after="0"/>
            </w:pPr>
            <w:r/>
            <w:r>
              <w:rPr>
                <w:b w:val="0"/>
                <w:sz w:val="17"/>
              </w:rPr>
              <w:t>Mildenhall et al. (2020); Kerbl et al. (2023)</w:t>
            </w:r>
          </w:p>
        </w:tc>
        <w:tc>
          <w:tcPr>
            <w:tcW w:type="dxa" w:w="2592"/>
            <w:vAlign w:val="center"/>
          </w:tcPr>
          <w:p>
            <w:pPr>
              <w:spacing w:after="0"/>
            </w:pPr>
            <w:r/>
            <w:r>
              <w:rPr>
                <w:b w:val="0"/>
                <w:sz w:val="17"/>
              </w:rPr>
              <w:t>Novel-view scene representations</w:t>
            </w:r>
          </w:p>
        </w:tc>
        <w:tc>
          <w:tcPr>
            <w:tcW w:type="dxa" w:w="2880"/>
            <w:vAlign w:val="center"/>
          </w:tcPr>
          <w:p>
            <w:pPr>
              <w:spacing w:after="0"/>
            </w:pPr>
            <w:r/>
            <w:r>
              <w:rPr>
                <w:b w:val="0"/>
                <w:sz w:val="17"/>
              </w:rPr>
              <w:t>Rendering quality is not trait accuracy</w:t>
            </w:r>
          </w:p>
        </w:tc>
      </w:tr>
      <w:tr>
        <w:tc>
          <w:tcPr>
            <w:tcW w:type="dxa" w:w="1440"/>
            <w:vAlign w:val="center"/>
          </w:tcPr>
          <w:p>
            <w:pPr>
              <w:spacing w:after="0"/>
            </w:pPr>
            <w:r/>
            <w:r>
              <w:rPr>
                <w:b w:val="0"/>
                <w:sz w:val="17"/>
              </w:rPr>
              <w:t>Cotton 3D</w:t>
            </w:r>
          </w:p>
        </w:tc>
        <w:tc>
          <w:tcPr>
            <w:tcW w:type="dxa" w:w="2448"/>
            <w:vAlign w:val="center"/>
          </w:tcPr>
          <w:p>
            <w:pPr>
              <w:spacing w:after="0"/>
            </w:pPr>
            <w:r/>
            <w:r>
              <w:rPr>
                <w:b w:val="0"/>
                <w:sz w:val="17"/>
              </w:rPr>
              <w:t>Sun et al. (2020); Xiao et al. (2024); Jiang et al. (2025)</w:t>
            </w:r>
          </w:p>
        </w:tc>
        <w:tc>
          <w:tcPr>
            <w:tcW w:type="dxa" w:w="2592"/>
            <w:vAlign w:val="center"/>
          </w:tcPr>
          <w:p>
            <w:pPr>
              <w:spacing w:after="0"/>
            </w:pPr>
            <w:r/>
            <w:r>
              <w:rPr>
                <w:b w:val="0"/>
                <w:sz w:val="17"/>
              </w:rPr>
              <w:t>Point-cloud and Gaussian cotton boll phenotyping</w:t>
            </w:r>
          </w:p>
        </w:tc>
        <w:tc>
          <w:tcPr>
            <w:tcW w:type="dxa" w:w="2880"/>
            <w:vAlign w:val="center"/>
          </w:tcPr>
          <w:p>
            <w:pPr>
              <w:spacing w:after="0"/>
            </w:pPr>
            <w:r/>
            <w:r>
              <w:rPr>
                <w:b w:val="0"/>
                <w:sz w:val="17"/>
              </w:rPr>
              <w:t>Pre/post defoliation and mask-to-3D review remain distinct</w:t>
            </w:r>
          </w:p>
        </w:tc>
      </w:tr>
    </w:tbl>
    <w:p>
      <w:pPr>
        <w:pStyle w:val="Heading1"/>
      </w:pPr>
      <w:r>
        <w:t>3 Dataset and Study Setting</w:t>
      </w:r>
    </w:p>
    <w:p>
      <w:pPr>
        <w:spacing w:after="8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8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8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spacing w:before="100" w:after="40"/>
      </w:pPr>
      <w:r>
        <w:rPr>
          <w:b/>
        </w:rPr>
        <w:t xml:space="preserve">Table </w:t>
      </w:r>
      <w:r>
        <w:t>2 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b/>
                <w:sz w:val="17"/>
              </w:rPr>
              <w:t>Field</w:t>
            </w:r>
          </w:p>
        </w:tc>
        <w:tc>
          <w:tcPr>
            <w:tcW w:type="dxa" w:w="2088"/>
            <w:shd w:fill="EDEDED"/>
            <w:vAlign w:val="center"/>
          </w:tcPr>
          <w:p>
            <w:pPr>
              <w:spacing w:after="0"/>
            </w:pPr>
            <w:r/>
            <w:r>
              <w:rPr>
                <w:b/>
                <w:sz w:val="17"/>
              </w:rPr>
              <w:t>Current status</w:t>
            </w:r>
          </w:p>
        </w:tc>
        <w:tc>
          <w:tcPr>
            <w:tcW w:type="dxa" w:w="4752"/>
            <w:shd w:fill="EDEDED"/>
            <w:vAlign w:val="center"/>
          </w:tcPr>
          <w:p>
            <w:pPr>
              <w:spacing w:after="0"/>
            </w:pPr>
            <w:r/>
            <w:r>
              <w:rPr>
                <w:b/>
                <w:sz w:val="17"/>
              </w:rPr>
              <w:t>Why it matters</w:t>
            </w:r>
          </w:p>
        </w:tc>
      </w:tr>
      <w:tr>
        <w:tc>
          <w:tcPr>
            <w:tcW w:type="dxa" w:w="1800"/>
            <w:vAlign w:val="center"/>
          </w:tcPr>
          <w:p>
            <w:pPr>
              <w:spacing w:after="0"/>
            </w:pPr>
            <w:r/>
            <w:r>
              <w:rPr>
                <w:b w:val="0"/>
                <w:sz w:val="17"/>
              </w:rPr>
              <w:t>Pre/post phase</w:t>
            </w:r>
          </w:p>
        </w:tc>
        <w:tc>
          <w:tcPr>
            <w:tcW w:type="dxa" w:w="2088"/>
            <w:vAlign w:val="center"/>
          </w:tcPr>
          <w:p>
            <w:pPr>
              <w:spacing w:after="0"/>
            </w:pPr>
            <w:r/>
            <w:r>
              <w:rPr>
                <w:b w:val="0"/>
                <w:sz w:val="17"/>
              </w:rPr>
              <w:t>Available from folder names</w:t>
            </w:r>
          </w:p>
        </w:tc>
        <w:tc>
          <w:tcPr>
            <w:tcW w:type="dxa" w:w="4752"/>
            <w:vAlign w:val="center"/>
          </w:tcPr>
          <w:p>
            <w:pPr>
              <w:spacing w:after="0"/>
            </w:pPr>
            <w:r/>
            <w:r>
              <w:rPr>
                <w:b w:val="0"/>
                <w:sz w:val="17"/>
              </w:rPr>
              <w:t>Defines visibility intervention</w:t>
            </w:r>
          </w:p>
        </w:tc>
      </w:tr>
      <w:tr>
        <w:tc>
          <w:tcPr>
            <w:tcW w:type="dxa" w:w="1800"/>
            <w:vAlign w:val="center"/>
          </w:tcPr>
          <w:p>
            <w:pPr>
              <w:spacing w:after="0"/>
            </w:pPr>
            <w:r/>
            <w:r>
              <w:rPr>
                <w:b w:val="0"/>
                <w:sz w:val="17"/>
              </w:rPr>
              <w:t>Frame count</w:t>
            </w:r>
          </w:p>
        </w:tc>
        <w:tc>
          <w:tcPr>
            <w:tcW w:type="dxa" w:w="2088"/>
            <w:vAlign w:val="center"/>
          </w:tcPr>
          <w:p>
            <w:pPr>
              <w:spacing w:after="0"/>
            </w:pPr>
            <w:r/>
            <w:r>
              <w:rPr>
                <w:b w:val="0"/>
                <w:sz w:val="17"/>
              </w:rPr>
              <w:t>To be audited</w:t>
            </w:r>
          </w:p>
        </w:tc>
        <w:tc>
          <w:tcPr>
            <w:tcW w:type="dxa" w:w="4752"/>
            <w:vAlign w:val="center"/>
          </w:tcPr>
          <w:p>
            <w:pPr>
              <w:spacing w:after="0"/>
            </w:pPr>
            <w:r/>
            <w:r>
              <w:rPr>
                <w:b w:val="0"/>
                <w:sz w:val="17"/>
              </w:rPr>
              <w:t>Controls split and leakage reporting</w:t>
            </w:r>
          </w:p>
        </w:tc>
      </w:tr>
      <w:tr>
        <w:tc>
          <w:tcPr>
            <w:tcW w:type="dxa" w:w="1800"/>
            <w:vAlign w:val="center"/>
          </w:tcPr>
          <w:p>
            <w:pPr>
              <w:spacing w:after="0"/>
            </w:pPr>
            <w:r/>
            <w:r>
              <w:rPr>
                <w:b w:val="0"/>
                <w:sz w:val="17"/>
              </w:rPr>
              <w:t>Camera and UAV model</w:t>
            </w:r>
          </w:p>
        </w:tc>
        <w:tc>
          <w:tcPr>
            <w:tcW w:type="dxa" w:w="2088"/>
            <w:vAlign w:val="center"/>
          </w:tcPr>
          <w:p>
            <w:pPr>
              <w:spacing w:after="0"/>
            </w:pPr>
            <w:r/>
            <w:r>
              <w:rPr>
                <w:b w:val="0"/>
                <w:sz w:val="17"/>
              </w:rPr>
              <w:t>To be inserted</w:t>
            </w:r>
          </w:p>
        </w:tc>
        <w:tc>
          <w:tcPr>
            <w:tcW w:type="dxa" w:w="4752"/>
            <w:vAlign w:val="center"/>
          </w:tcPr>
          <w:p>
            <w:pPr>
              <w:spacing w:after="0"/>
            </w:pPr>
            <w:r/>
            <w:r>
              <w:rPr>
                <w:b w:val="0"/>
                <w:sz w:val="17"/>
              </w:rPr>
              <w:t>Required by ICPA equipment reporting</w:t>
            </w:r>
          </w:p>
        </w:tc>
      </w:tr>
      <w:tr>
        <w:tc>
          <w:tcPr>
            <w:tcW w:type="dxa" w:w="1800"/>
            <w:vAlign w:val="center"/>
          </w:tcPr>
          <w:p>
            <w:pPr>
              <w:spacing w:after="0"/>
            </w:pPr>
            <w:r/>
            <w:r>
              <w:rPr>
                <w:b w:val="0"/>
                <w:sz w:val="17"/>
              </w:rPr>
              <w:t>GSD or scale</w:t>
            </w:r>
          </w:p>
        </w:tc>
        <w:tc>
          <w:tcPr>
            <w:tcW w:type="dxa" w:w="2088"/>
            <w:vAlign w:val="center"/>
          </w:tcPr>
          <w:p>
            <w:pPr>
              <w:spacing w:after="0"/>
            </w:pPr>
            <w:r/>
            <w:r>
              <w:rPr>
                <w:b w:val="0"/>
                <w:sz w:val="17"/>
              </w:rPr>
              <w:t>Proxy in MVP</w:t>
            </w:r>
          </w:p>
        </w:tc>
        <w:tc>
          <w:tcPr>
            <w:tcW w:type="dxa" w:w="4752"/>
            <w:vAlign w:val="center"/>
          </w:tcPr>
          <w:p>
            <w:pPr>
              <w:spacing w:after="0"/>
            </w:pPr>
            <w:r/>
            <w:r>
              <w:rPr>
                <w:b w:val="0"/>
                <w:sz w:val="17"/>
              </w:rPr>
              <w:t>Needed for mm and mm3 measurements</w:t>
            </w:r>
          </w:p>
        </w:tc>
      </w:tr>
      <w:tr>
        <w:tc>
          <w:tcPr>
            <w:tcW w:type="dxa" w:w="1800"/>
            <w:vAlign w:val="center"/>
          </w:tcPr>
          <w:p>
            <w:pPr>
              <w:spacing w:after="0"/>
            </w:pPr>
            <w:r/>
            <w:r>
              <w:rPr>
                <w:b w:val="0"/>
                <w:sz w:val="17"/>
              </w:rPr>
              <w:t>GCP/pose/orthomosaic</w:t>
            </w:r>
          </w:p>
        </w:tc>
        <w:tc>
          <w:tcPr>
            <w:tcW w:type="dxa" w:w="2088"/>
            <w:vAlign w:val="center"/>
          </w:tcPr>
          <w:p>
            <w:pPr>
              <w:spacing w:after="0"/>
            </w:pPr>
            <w:r/>
            <w:r>
              <w:rPr>
                <w:b w:val="0"/>
                <w:sz w:val="17"/>
              </w:rPr>
              <w:t>To be verified</w:t>
            </w:r>
          </w:p>
        </w:tc>
        <w:tc>
          <w:tcPr>
            <w:tcW w:type="dxa" w:w="4752"/>
            <w:vAlign w:val="center"/>
          </w:tcPr>
          <w:p>
            <w:pPr>
              <w:spacing w:after="0"/>
            </w:pPr>
            <w:r/>
            <w:r>
              <w:rPr>
                <w:b w:val="0"/>
                <w:sz w:val="17"/>
              </w:rPr>
              <w:t>Needed for metric plot mapping</w:t>
            </w:r>
          </w:p>
        </w:tc>
      </w:tr>
      <w:tr>
        <w:tc>
          <w:tcPr>
            <w:tcW w:type="dxa" w:w="1800"/>
            <w:vAlign w:val="center"/>
          </w:tcPr>
          <w:p>
            <w:pPr>
              <w:spacing w:after="0"/>
            </w:pPr>
            <w:r/>
            <w:r>
              <w:rPr>
                <w:b w:val="0"/>
                <w:sz w:val="17"/>
              </w:rPr>
              <w:t>Manual validation labels</w:t>
            </w:r>
          </w:p>
        </w:tc>
        <w:tc>
          <w:tcPr>
            <w:tcW w:type="dxa" w:w="2088"/>
            <w:vAlign w:val="center"/>
          </w:tcPr>
          <w:p>
            <w:pPr>
              <w:spacing w:after="0"/>
            </w:pPr>
            <w:r/>
            <w:r>
              <w:rPr>
                <w:b w:val="0"/>
                <w:sz w:val="17"/>
              </w:rPr>
              <w:t>To be created</w:t>
            </w:r>
          </w:p>
        </w:tc>
        <w:tc>
          <w:tcPr>
            <w:tcW w:type="dxa" w:w="4752"/>
            <w:vAlign w:val="center"/>
          </w:tcPr>
          <w:p>
            <w:pPr>
              <w:spacing w:after="0"/>
            </w:pPr>
            <w:r/>
            <w:r>
              <w:rPr>
                <w:b w:val="0"/>
                <w:sz w:val="17"/>
              </w:rPr>
              <w:t>Needed for count, mask, and trait error</w:t>
            </w:r>
          </w:p>
        </w:tc>
      </w:tr>
    </w:tbl>
    <w:p>
      <w:pPr>
        <w:pStyle w:val="Heading1"/>
      </w:pPr>
      <w:r>
        <w:t>4 Method</w:t>
      </w:r>
    </w:p>
    <w:p>
      <w:pPr>
        <w:pStyle w:val="Heading2"/>
      </w:pPr>
      <w:r>
        <w:t>4.1 Overview</w:t>
      </w:r>
    </w:p>
    <w:p>
      <w:pPr>
        <w:spacing w:after="8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pStyle w:val="Heading2"/>
      </w:pPr>
      <w:r>
        <w:t>4.2 Cotton boll candidate detection</w:t>
      </w:r>
    </w:p>
    <w:p>
      <w:pPr>
        <w:spacing w:after="8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8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8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8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80"/>
      </w:pPr>
      <w:r>
        <w:rPr>
          <w:i w:val="0"/>
        </w:rPr>
        <w:t>Let s denote the image scale in mm per pixel, l_px and w_px denote the major and minor axes of the extracted mask, and w_box and h_box denote the detector-box width and height. The pipeline reports mask length L, mask width W, coarse detector diameter D, ellipsoid volume proxy V, visibility v, and extraction confidence q. Equations (1)-(6) define the planned trait computations.</w:t>
      </w:r>
    </w:p>
    <w:p>
      <w:pPr>
        <w:spacing w:after="40"/>
        <w:jc w:val="center"/>
      </w:pPr>
      <w:r>
        <w:t>(1)  L = l_px * s</w:t>
      </w:r>
    </w:p>
    <w:p>
      <w:pPr>
        <w:spacing w:after="40"/>
        <w:jc w:val="center"/>
      </w:pPr>
      <w:r>
        <w:t>(2)  W = w_px * s</w:t>
      </w:r>
    </w:p>
    <w:p>
      <w:pPr>
        <w:spacing w:after="40"/>
        <w:jc w:val="center"/>
      </w:pPr>
      <w:r>
        <w:t>(3)  D = 0.5 * (w_box + h_box) * s</w:t>
      </w:r>
    </w:p>
    <w:p>
      <w:pPr>
        <w:spacing w:after="40"/>
        <w:jc w:val="center"/>
      </w:pPr>
      <w:r>
        <w:t>(4)  V_ellipsoid = (4/3) pi (L/2)(W/2)(W/2)</w:t>
      </w:r>
    </w:p>
    <w:p>
      <w:pPr>
        <w:spacing w:after="40"/>
        <w:jc w:val="center"/>
      </w:pPr>
      <w:r>
        <w:t>(5)  v = A_contour / A_box</w:t>
      </w:r>
    </w:p>
    <w:p>
      <w:pPr>
        <w:spacing w:after="40"/>
        <w:jc w:val="center"/>
      </w:pPr>
      <w:r>
        <w:t>(6)  q = f(r_lint, v, d, r_size, b, 1 - r_green)</w:t>
      </w:r>
    </w:p>
    <w:p>
      <w:pPr>
        <w:spacing w:after="8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8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8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p>
      <w:pPr>
        <w:spacing w:before="120" w:after="40"/>
      </w:pPr>
      <w:r>
        <w:rPr>
          <w:b/>
        </w:rPr>
        <w:t>Algorithm 1. Mask-guided cotton boll phenotyping pipeline.</w:t>
      </w:r>
    </w:p>
    <w:p>
      <w:pPr>
        <w:spacing w:after="80"/>
      </w:pPr>
      <w:r>
        <w:rPr>
          <w:i/>
        </w:rPr>
        <w:t>Input: UAV image I, phase p, scale s or calibration metadata, detector parameters, mask parameters.</w:t>
      </w:r>
    </w:p>
    <w:p>
      <w:pPr>
        <w:spacing w:after="80"/>
      </w:pPr>
      <w:r>
        <w:rPr>
          <w:i/>
        </w:rPr>
        <w:t>Output: Measurement table, mask overlay, scene point cloud, boll-mask point cloud, and plot-cell summary.</w:t>
      </w:r>
    </w:p>
    <w:p>
      <w:pPr>
        <w:pStyle w:val="ListNumber"/>
        <w:spacing w:after="40"/>
      </w:pPr>
      <w:r>
        <w:t>Resolve the image phase from metadata or greenness-based phase inference.</w:t>
      </w:r>
    </w:p>
    <w:p>
      <w:pPr>
        <w:pStyle w:val="ListNumber"/>
        <w:spacing w:after="40"/>
      </w:pPr>
      <w:r>
        <w:t>Detect raw cotton boll candidates with the phase-aware detector.</w:t>
      </w:r>
    </w:p>
    <w:p>
      <w:pPr>
        <w:pStyle w:val="ListNumber"/>
        <w:spacing w:after="40"/>
      </w:pPr>
      <w:r>
        <w:t>For each candidate, extract a prompt-style lint mask and compute mask statistics.</w:t>
      </w:r>
    </w:p>
    <w:p>
      <w:pPr>
        <w:pStyle w:val="ListNumber"/>
        <w:spacing w:after="40"/>
      </w:pPr>
      <w:r>
        <w:t>Score extraction quality using lint fraction, green penalty, visibility, size prior, brightness, and depth evidence.</w:t>
      </w:r>
    </w:p>
    <w:p>
      <w:pPr>
        <w:pStyle w:val="ListNumber"/>
        <w:spacing w:after="40"/>
      </w:pPr>
      <w:r>
        <w:t>Keep a measurement-ready subset for trait estimation and quality-control visualization.</w:t>
      </w:r>
    </w:p>
    <w:p>
      <w:pPr>
        <w:pStyle w:val="ListNumber"/>
        <w:spacing w:after="40"/>
      </w:pPr>
      <w:r>
        <w:t>Project selected mask pixels into the 3D review coordinate system.</w:t>
      </w:r>
    </w:p>
    <w:p>
      <w:pPr>
        <w:pStyle w:val="ListNumber"/>
        <w:spacing w:after="40"/>
      </w:pPr>
      <w:r>
        <w:t>Export image overlays, CSV trait records, full-scene PLY, boll-mask PLY, and plot-cell summaries.</w:t>
      </w:r>
    </w:p>
    <w:p>
      <w:pPr>
        <w:spacing w:before="120" w:after="40"/>
      </w:pPr>
      <w:r>
        <w:rPr>
          <w:b/>
        </w:rPr>
        <w:t>Algorithm 2. SAM-style boll mask extraction.</w:t>
      </w:r>
    </w:p>
    <w:p>
      <w:pPr>
        <w:spacing w:after="80"/>
      </w:pPr>
      <w:r>
        <w:rPr>
          <w:i/>
        </w:rPr>
        <w:t>Input: Candidate crop C and detector box b.</w:t>
      </w:r>
    </w:p>
    <w:p>
      <w:pPr>
        <w:spacing w:after="80"/>
      </w:pPr>
      <w:r>
        <w:rPr>
          <w:i/>
        </w:rPr>
        <w:t>Output: Binary lint mask M and mask-shape statistics.</w:t>
      </w:r>
    </w:p>
    <w:p>
      <w:pPr>
        <w:pStyle w:val="ListNumber"/>
        <w:spacing w:after="40"/>
      </w:pPr>
      <w:r>
        <w:t>Pad the detector box to include local context around the candidate.</w:t>
      </w:r>
    </w:p>
    <w:p>
      <w:pPr>
        <w:pStyle w:val="ListNumber"/>
        <w:spacing w:after="40"/>
      </w:pPr>
      <w:r>
        <w:t>Convert the crop to HSV color space and compute excess-green suppression.</w:t>
      </w:r>
    </w:p>
    <w:p>
      <w:pPr>
        <w:pStyle w:val="ListNumber"/>
        <w:spacing w:after="40"/>
      </w:pPr>
      <w:r>
        <w:t>Select low-saturation, high-value pixels consistent with cotton lint.</w:t>
      </w:r>
    </w:p>
    <w:p>
      <w:pPr>
        <w:pStyle w:val="ListNumber"/>
        <w:spacing w:after="40"/>
      </w:pPr>
      <w:r>
        <w:t>Apply morphological opening and closing to remove isolated noise and fill small gaps.</w:t>
      </w:r>
    </w:p>
    <w:p>
      <w:pPr>
        <w:pStyle w:val="ListNumber"/>
        <w:spacing w:after="40"/>
      </w:pPr>
      <w:r>
        <w:t>Compute connected components and retain the largest plausible lint component.</w:t>
      </w:r>
    </w:p>
    <w:p>
      <w:pPr>
        <w:pStyle w:val="ListNumber"/>
        <w:spacing w:after="40"/>
      </w:pPr>
      <w:r>
        <w:t>Estimate mask area, oriented length, and oriented width from the retained component.</w:t>
      </w:r>
    </w:p>
    <w:p>
      <w:pPr>
        <w:spacing w:before="120" w:after="40"/>
      </w:pPr>
      <w:r>
        <w:rPr>
          <w:b/>
        </w:rPr>
        <w:t>Algorithm 3. Mask-to-3D projection and trait estimation.</w:t>
      </w:r>
    </w:p>
    <w:p>
      <w:pPr>
        <w:spacing w:after="80"/>
      </w:pPr>
      <w:r>
        <w:rPr>
          <w:i/>
        </w:rPr>
        <w:t>Input: Mask M, depth or calibrated geometry Z, scale s, and candidate metadata.</w:t>
      </w:r>
    </w:p>
    <w:p>
      <w:pPr>
        <w:spacing w:after="80"/>
      </w:pPr>
      <w:r>
        <w:rPr>
          <w:i/>
        </w:rPr>
        <w:t>Output: Projected boll-mask points and proxy trait vector.</w:t>
      </w:r>
    </w:p>
    <w:p>
      <w:pPr>
        <w:pStyle w:val="ListNumber"/>
        <w:spacing w:after="40"/>
      </w:pPr>
      <w:r>
        <w:t>Collect all foreground pixels from the mask and subsample if necessary for interactive rendering.</w:t>
      </w:r>
    </w:p>
    <w:p>
      <w:pPr>
        <w:pStyle w:val="ListNumber"/>
        <w:spacing w:after="40"/>
      </w:pPr>
      <w:r>
        <w:t>Map original image coordinates to the depth or reconstruction grid.</w:t>
      </w:r>
    </w:p>
    <w:p>
      <w:pPr>
        <w:pStyle w:val="ListNumber"/>
        <w:spacing w:after="40"/>
      </w:pPr>
      <w:r>
        <w:t>Back-project each selected pixel into the review coordinate system.</w:t>
      </w:r>
    </w:p>
    <w:p>
      <w:pPr>
        <w:pStyle w:val="ListNumber"/>
        <w:spacing w:after="40"/>
      </w:pPr>
      <w:r>
        <w:t>Assign candidate-specific colors for visualization and export a boll-mask PLY.</w:t>
      </w:r>
    </w:p>
    <w:p>
      <w:pPr>
        <w:pStyle w:val="ListNumber"/>
        <w:spacing w:after="40"/>
      </w:pPr>
      <w:r>
        <w:t>Compute L, W, D, V, v, and q using the mask, detector box, scale, and confidence terms.</w:t>
      </w:r>
    </w:p>
    <w:p>
      <w:pPr>
        <w:pStyle w:val="ListNumber"/>
        <w:spacing w:after="40"/>
      </w:pPr>
      <w:r>
        <w:t>Store the resulting trait vector with candidate identity and phase metadata.</w:t>
      </w:r>
    </w:p>
    <w:p>
      <w:pPr>
        <w:spacing w:before="120" w:after="40"/>
      </w:pPr>
      <w:r>
        <w:rPr>
          <w:b/>
        </w:rPr>
        <w:t>Algorithm 4. Plot-cell aggregation.</w:t>
      </w:r>
    </w:p>
    <w:p>
      <w:pPr>
        <w:spacing w:after="80"/>
      </w:pPr>
      <w:r>
        <w:rPr>
          <w:i/>
        </w:rPr>
        <w:t>Input: Measurement-ready candidates R and plot grid G.</w:t>
      </w:r>
    </w:p>
    <w:p>
      <w:pPr>
        <w:spacing w:after="80"/>
      </w:pPr>
      <w:r>
        <w:rPr>
          <w:i/>
        </w:rPr>
        <w:t>Output: Cell-level count, trait means, and confidence summaries.</w:t>
      </w:r>
    </w:p>
    <w:p>
      <w:pPr>
        <w:pStyle w:val="ListNumber"/>
        <w:spacing w:after="40"/>
      </w:pPr>
      <w:r>
        <w:t>Define the row-column grid in image coordinates or calibrated field coordinates.</w:t>
      </w:r>
    </w:p>
    <w:p>
      <w:pPr>
        <w:pStyle w:val="ListNumber"/>
        <w:spacing w:after="40"/>
      </w:pPr>
      <w:r>
        <w:t>For each candidate, compute the center point from the detector box or mask centroid.</w:t>
      </w:r>
    </w:p>
    <w:p>
      <w:pPr>
        <w:pStyle w:val="ListNumber"/>
        <w:spacing w:after="40"/>
      </w:pPr>
      <w:r>
        <w:t>Assign the candidate to the corresponding grid cell when the center lies inside the study region.</w:t>
      </w:r>
    </w:p>
    <w:p>
      <w:pPr>
        <w:pStyle w:val="ListNumber"/>
        <w:spacing w:after="40"/>
      </w:pPr>
      <w:r>
        <w:t>For each occupied cell, compute count, mean trait values, mean confidence, and coverage.</w:t>
      </w:r>
    </w:p>
    <w:p>
      <w:pPr>
        <w:pStyle w:val="ListNumber"/>
        <w:spacing w:after="40"/>
      </w:pPr>
      <w:r>
        <w:t>Rank cells by count, uncertainty, or pre/post change for inspection and reporting.</w:t>
      </w:r>
    </w:p>
    <w:p>
      <w:pPr>
        <w:pStyle w:val="Heading1"/>
      </w:pPr>
      <w:r>
        <w:t>References</w:t>
      </w:r>
    </w:p>
    <w:p>
      <w:pPr>
        <w:spacing w:after="80"/>
      </w:pPr>
      <w:r>
        <w:rPr>
          <w:i w:val="0"/>
        </w:rPr>
        <w:t>DeTone, D., Malisiewicz, T., and Rabinovich, A. 2018. SuperPoint: Self-supervised interest point detection and description. Proceedings of the IEEE/CVF Conference on Computer Vision and Pattern Recognition Workshops.</w:t>
      </w:r>
    </w:p>
    <w:p>
      <w:pPr>
        <w:spacing w:after="80"/>
      </w:pPr>
      <w:r>
        <w:rPr>
          <w:i w:val="0"/>
        </w:rPr>
        <w:t>Edelsbrunner, H., Kirkpatrick, D., and Seidel, R. 1983. On the shape of a set of points in the plane. IEEE Transactions on Information Theory 29(4):551-559.</w:t>
      </w:r>
    </w:p>
    <w:p>
      <w:pPr>
        <w:spacing w:after="80"/>
      </w:pPr>
      <w:r>
        <w:rPr>
          <w:i w:val="0"/>
        </w:rPr>
        <w:t>Jiang, X., Li, Z., Li, D., Zhang, Y., Hu, J., Lin, F., and Zhou, J. 2025. Cotton3DGaussians: 3D Gaussian-based three-dimensional reconstruction and phenotyping for cotton bolls. The Plant Phenomics.</w:t>
      </w:r>
    </w:p>
    <w:p>
      <w:pPr>
        <w:spacing w:after="80"/>
      </w:pPr>
      <w:r>
        <w:rPr>
          <w:i w:val="0"/>
        </w:rPr>
        <w:t>Kerbl, B., Kopanas, G., Leimkuehler, T., and Drettakis, G. 2023. 3D Gaussian Splatting for real-time radiance field rendering. ACM Transactions on Graphics 42(4):1-14.</w:t>
      </w:r>
    </w:p>
    <w:p>
      <w:pPr>
        <w:spacing w:after="80"/>
      </w:pPr>
      <w:r>
        <w:rPr>
          <w:i w:val="0"/>
        </w:rPr>
        <w:t>Kirillov, A., Mintun, E., Ravi, N., Mao, H., Rolland, C., Gustafson, L., et al. 2023. Segment Anything. Proceedings of the IEEE/CVF International Conference on Computer Vision.</w:t>
      </w:r>
    </w:p>
    <w:p>
      <w:pPr>
        <w:spacing w:after="80"/>
      </w:pPr>
      <w:r>
        <w:rPr>
          <w:i w:val="0"/>
        </w:rPr>
        <w:t>Mildenhall, B., Srinivasan, P. P., Tancik, M., Barron, J. T., Ramamoorthi, R., and Ng, R. 2020. NeRF: Representing scenes as neural radiance fields for view synthesis. Proceedings of the European Conference on Computer Vision.</w:t>
      </w:r>
    </w:p>
    <w:p>
      <w:pPr>
        <w:spacing w:after="80"/>
      </w:pPr>
      <w:r>
        <w:rPr>
          <w:i w:val="0"/>
        </w:rPr>
        <w:t>Oquab, M., Darcet, T., Moutakanni, T., Vo, H., Szafraniec, M., Khalidov, V., et al. 2023. DINOv2: Learning robust visual features without supervision. arXiv:2304.07193.</w:t>
      </w:r>
    </w:p>
    <w:p>
      <w:pPr>
        <w:spacing w:after="80"/>
      </w:pPr>
      <w:r>
        <w:rPr>
          <w:i w:val="0"/>
        </w:rPr>
        <w:t>Ravi, N., Gabeur, V., Hu, Y.-T., Hu, R., Ryali, C., Ma, T., et al. 2024. SAM 2: Segment Anything in Images and Videos. arXiv:2408.00714.</w:t>
      </w:r>
    </w:p>
    <w:p>
      <w:pPr>
        <w:spacing w:after="80"/>
      </w:pPr>
      <w:r>
        <w:rPr>
          <w:i w:val="0"/>
        </w:rPr>
        <w:t>Sarlin, P.-E., DeTone, D., Malisiewicz, T., and Rabinovich, A. 2020. SuperGlue: Learning feature matching with graph neural networks. Proceedings of the IEEE/CVF Conference on Computer Vision and Pattern Recognition.</w:t>
      </w:r>
    </w:p>
    <w:p>
      <w:pPr>
        <w:spacing w:after="80"/>
      </w:pPr>
      <w:r>
        <w:rPr>
          <w:i w:val="0"/>
        </w:rPr>
        <w:t>Schoenberger, J. L., and Frahm, J.-M. 2016. Structure-from-Motion revisited. Proceedings of the IEEE Conference on Computer Vision and Pattern Recognition.</w:t>
      </w:r>
    </w:p>
    <w:p>
      <w:pPr>
        <w:spacing w:after="80"/>
      </w:pPr>
      <w:r>
        <w:rPr>
          <w:i w:val="0"/>
        </w:rPr>
        <w:t>Schoenberger, J. L., Zheng, E., Frahm, J.-M., and Pollefeys, M. 2016. Pixelwise view selection for unstructured multi-view stereo. Proceedings of the European Conference on Computer Vision.</w:t>
      </w:r>
    </w:p>
    <w:p>
      <w:pPr>
        <w:spacing w:after="80"/>
      </w:pPr>
      <w:r>
        <w:rPr>
          <w:i w:val="0"/>
        </w:rPr>
        <w:t>Sun, S., Li, C., Paterson, A. H., Jiang, Y., Xu, R., Robertson, J. S., et al. 2020. Three-dimensional photogrammetric mapping of cotton bolls in situ based on point cloud segmentation and clustering. ISPRS Journal of Photogrammetry and Remote Sensing 160:195-207.</w:t>
      </w:r>
    </w:p>
    <w:p>
      <w:pPr>
        <w:spacing w:after="80"/>
      </w:pPr>
      <w:r>
        <w:rPr>
          <w:i w:val="0"/>
        </w:rPr>
        <w:t>Wang, S., Leroy, V., Cabon, Y., Chidlovskii, B., and Revaud, J. 2024. DUSt3R: Geometric 3D vision made easy. Proceedings of the IEEE/CVF Conference on Computer Vision and Pattern Recognition.</w:t>
      </w:r>
    </w:p>
    <w:p>
      <w:pPr>
        <w:spacing w:after="80"/>
      </w:pPr>
      <w:r>
        <w:rPr>
          <w:i w:val="0"/>
        </w:rPr>
        <w:t>Wang, S., Leroy, V., Cabon, Y., Chidlovskii, B., and Revaud, J. 2024. MASt3R: Grounding image matching in 3D with mast3r. Proceedings of the European Conference on Computer Vision.</w:t>
      </w:r>
    </w:p>
    <w:p>
      <w:pPr>
        <w:spacing w:after="80"/>
      </w:pPr>
      <w:r>
        <w:rPr>
          <w:i w:val="0"/>
        </w:rPr>
        <w:t>Wang, J., Chen, M., Karaev, N., Vedaldi, A., Rupprecht, C., and Novotny, D. 2025. VGGT: Visual Geometry Grounded Transformer. Proceedings of the IEEE/CVF Conference on Computer Vision and Pattern Recognition.</w:t>
      </w:r>
    </w:p>
    <w:p>
      <w:pPr>
        <w:spacing w:after="80"/>
      </w:pPr>
      <w:r>
        <w:rPr>
          <w:i w:val="0"/>
        </w:rPr>
        <w:t>Xiao, S., Fei, S., Ye, Y., Xu, D., Xie, Z., Bi, K., et al. 2024. 3D reconstruction and characterization of cotton bolls in situ based on UAV technology. ISPRS Journal of Photogrammetry and Remote Sensing 209:101-116.</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