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jc w:val="center"/>
      </w:pPr>
      <w:r>
        <w:drawing>
          <wp:inline xmlns:a="http://schemas.openxmlformats.org/drawingml/2006/main" xmlns:pic="http://schemas.openxmlformats.org/drawingml/2006/picture">
            <wp:extent cx="6035040" cy="2506648"/>
            <wp:docPr id="1" name="Picture 1"/>
            <wp:cNvGraphicFramePr>
              <a:graphicFrameLocks noChangeAspect="1"/>
            </wp:cNvGraphicFramePr>
            <a:graphic>
              <a:graphicData uri="http://schemas.openxmlformats.org/drawingml/2006/picture">
                <pic:pic>
                  <pic:nvPicPr>
                    <pic:cNvPr id="0" name="icpa_cotton_architecture_overview.png"/>
                    <pic:cNvPicPr/>
                  </pic:nvPicPr>
                  <pic:blipFill>
                    <a:blip r:embed="rId11"/>
                    <a:stretch>
                      <a:fillRect/>
                    </a:stretch>
                  </pic:blipFill>
                  <pic:spPr>
                    <a:xfrm>
                      <a:off x="0" y="0"/>
                      <a:ext cx="6035040" cy="2506648"/>
                    </a:xfrm>
                    <a:prstGeom prst="rect"/>
                  </pic:spPr>
                </pic:pic>
              </a:graphicData>
            </a:graphic>
          </wp:inline>
        </w:drawing>
      </w:r>
    </w:p>
    <w:p>
      <w:pPr>
        <w:spacing w:after="120"/>
      </w:pPr>
      <w:r>
        <w:rPr>
          <w:b/>
        </w:rPr>
        <w:t xml:space="preserve">Figure 1 </w:t>
      </w:r>
      <w:r>
        <w:t>Overview of the proposed mask-guided cotton boll phenotyping framework. The architecture separates UAV evidence, candidate detection, SAM-style mask extraction, proxy 3D review, structured trait outputs, and downstream evaluation/reporting. The dashed claim boundary is intentionally included to distinguish the current proxy MVP from future calibrated 3D metrology.</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mm per pixel, a_i and b_i denote the major and minor axes of the extracted mask for candidate i, and w_i and h_i denote the detector-box width and height in pixels. The pipeline reports mask length L_i, mask width W_i, coarse detector diameter D_i, ellipsoid volume proxy U_i, visibility V_i^vis, extraction confidence M_i, and plot-cell count C_rc. Equations (1)-(12) define the current trait computations and phase-comparison diagnostics. In the readiness score, ell_i is normalized lint fraction, b_i^bright is normalized brightness, g_i is green-canopy fraction, and 1[p_i = post] is an indicator for the post-defoliation phase.</w:t>
      </w:r>
    </w:p>
    <w:p>
      <w:pPr>
        <w:spacing w:after="40"/>
        <w:jc w:val="center"/>
      </w:pPr>
      <w:r>
        <w:rPr>
          <w:rFonts w:ascii="Times New Roman" w:hAnsi="Times New Roman"/>
          <w:sz w:val="21"/>
        </w:rPr>
        <w:t>(1)   V_i^vis = A_i^mask / A_i^box</w:t>
      </w:r>
    </w:p>
    <w:p>
      <w:pPr>
        <w:spacing w:after="40"/>
        <w:jc w:val="center"/>
      </w:pPr>
      <w:r>
        <w:rPr>
          <w:rFonts w:ascii="Times New Roman" w:hAnsi="Times New Roman"/>
          <w:sz w:val="21"/>
        </w:rPr>
        <w:t>(2)   L_i = s a_i,     W_i = s b_i</w:t>
      </w:r>
    </w:p>
    <w:p>
      <w:pPr>
        <w:spacing w:after="40"/>
        <w:jc w:val="center"/>
      </w:pPr>
      <w:r>
        <w:rPr>
          <w:rFonts w:ascii="Times New Roman" w:hAnsi="Times New Roman"/>
          <w:sz w:val="21"/>
        </w:rPr>
        <w:t>(3)   D_i = 1/2 (L_i + W_i)</w:t>
      </w:r>
    </w:p>
    <w:p>
      <w:pPr>
        <w:spacing w:after="40"/>
        <w:jc w:val="center"/>
      </w:pPr>
      <w:r>
        <w:rPr>
          <w:rFonts w:ascii="Times New Roman" w:hAnsi="Times New Roman"/>
          <w:sz w:val="21"/>
        </w:rPr>
        <w:t>(4)   U_i = 4π/3 · (L_i/2)(W_i/2)(W_i/2)</w:t>
      </w:r>
    </w:p>
    <w:p>
      <w:pPr>
        <w:spacing w:after="40"/>
        <w:jc w:val="center"/>
      </w:pPr>
      <w:r>
        <w:rPr>
          <w:rFonts w:ascii="Times New Roman" w:hAnsi="Times New Roman"/>
          <w:sz w:val="21"/>
        </w:rPr>
        <w:t>(5)   ρ_i = max(w_i,h_i)/(min(w_i,h_i) + ε)</w:t>
      </w:r>
    </w:p>
    <w:p>
      <w:pPr>
        <w:spacing w:after="40"/>
        <w:jc w:val="center"/>
      </w:pPr>
      <w:r>
        <w:rPr>
          <w:rFonts w:ascii="Times New Roman" w:hAnsi="Times New Roman"/>
          <w:sz w:val="21"/>
        </w:rPr>
        <w:t>(6)   R_i = max(0, 1 - (ρ_i - 1)/3.5)</w:t>
      </w:r>
    </w:p>
    <w:p>
      <w:pPr>
        <w:spacing w:after="40"/>
        <w:jc w:val="center"/>
      </w:pPr>
      <w:r>
        <w:rPr>
          <w:rFonts w:ascii="Times New Roman" w:hAnsi="Times New Roman"/>
          <w:sz w:val="21"/>
        </w:rPr>
        <w:t>(7)   S_i = min(sqrt(A_i^mask)/20, 1)</w:t>
      </w:r>
    </w:p>
    <w:p>
      <w:pPr>
        <w:spacing w:after="40"/>
        <w:jc w:val="center"/>
      </w:pPr>
      <w:r>
        <w:rPr>
          <w:rFonts w:ascii="Times New Roman" w:hAnsi="Times New Roman"/>
          <w:sz w:val="21"/>
        </w:rPr>
        <w:t>(8)   M_i = 0.32 ell_i + 0.20 V_i^vis + 0.16 b_i^bright + 0.14 R_i + 0.12 S_i + 0.06(1 - g_i) + 0.08 1[p_i = post]</w:t>
      </w:r>
    </w:p>
    <w:p>
      <w:pPr>
        <w:spacing w:after="40"/>
        <w:jc w:val="center"/>
      </w:pPr>
      <w:r>
        <w:rPr>
          <w:rFonts w:ascii="Times New Roman" w:hAnsi="Times New Roman"/>
          <w:sz w:val="21"/>
        </w:rPr>
        <w:t>(9)   Δ_μ(x) = mean_post(x) - mean_pre(x)</w:t>
      </w:r>
    </w:p>
    <w:p>
      <w:pPr>
        <w:spacing w:after="40"/>
        <w:jc w:val="center"/>
      </w:pPr>
      <w:r>
        <w:rPr>
          <w:rFonts w:ascii="Times New Roman" w:hAnsi="Times New Roman"/>
          <w:sz w:val="21"/>
        </w:rPr>
        <w:t>(10)   Δ_%(x) = 100 · (mean_post(x) - mean_pre(x)) / max(|mean_pre(x)|, ε)</w:t>
      </w:r>
    </w:p>
    <w:p>
      <w:pPr>
        <w:spacing w:after="40"/>
        <w:jc w:val="center"/>
      </w:pPr>
      <w:r>
        <w:rPr>
          <w:rFonts w:ascii="Times New Roman" w:hAnsi="Times New Roman"/>
          <w:sz w:val="21"/>
        </w:rPr>
        <w:t>(11)   U_i^99 = min(U_i, percentile_99(U)),     D_thr = 5 mean(diff(sort(U^99)))</w:t>
      </w:r>
    </w:p>
    <w:p>
      <w:pPr>
        <w:spacing w:after="40"/>
        <w:jc w:val="center"/>
      </w:pPr>
      <w:r>
        <w:rPr>
          <w:rFonts w:ascii="Times New Roman" w:hAnsi="Times New Roman"/>
          <w:sz w:val="21"/>
        </w:rPr>
        <w:t>(12)   C_rc = Σ_i 1[center_i ∈ G_rc]</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1 </w:t>
            </w:r>
            <w:r>
              <w:rPr>
                <w:sz w:val="22"/>
              </w:rPr>
              <w:t>Mask-guided cotton boll phenotyping pipeline</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candidate set B ← ∅, measurement set R ← ∅</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p is unknown </w:t>
            </w:r>
            <w:r>
              <w:rPr>
                <w:rFonts w:ascii="Times New Roman" w:hAnsi="Times New Roman"/>
                <w:b/>
                <w:sz w:val="20"/>
              </w:rPr>
              <w:t>then</w:t>
            </w:r>
            <w:r>
              <w:rPr>
                <w:rFonts w:ascii="Times New Roman" w:hAnsi="Times New Roman"/>
                <w:b w:val="0"/>
                <w:sz w:val="20"/>
              </w:rPr>
              <w:t xml:space="preserve"> infer p from canopy greenness</w:t>
            </w:r>
            <w:r>
              <w:rPr>
                <w:sz w:val="20"/>
              </w:rPr>
              <w:tab/>
              <w:t xml:space="preserve">▷ </w:t>
            </w:r>
            <w:r>
              <w:rPr>
                <w:rFonts w:ascii="Times New Roman" w:hAnsi="Times New Roman"/>
                <w:sz w:val="20"/>
              </w:rPr>
              <w:t>phase resolution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B ← DetectBolls(I, p; Θ_d)</w:t>
            </w:r>
            <w:r>
              <w:rPr>
                <w:sz w:val="20"/>
              </w:rPr>
              <w:tab/>
              <w:t xml:space="preserve">▷ </w:t>
            </w:r>
            <w:r>
              <w:rPr>
                <w:rFonts w:ascii="Times New Roman" w:hAnsi="Times New Roman"/>
                <w:sz w:val="20"/>
              </w:rPr>
              <w:t>raw candidate detection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b_i ∈ B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M_i, m_i ← ExtractMask(I, b_i; Θ_m)</w:t>
            </w:r>
            <w:r>
              <w:rPr>
                <w:sz w:val="20"/>
              </w:rPr>
              <w:tab/>
              <w:t xml:space="preserve">▷ </w:t>
            </w:r>
            <w:r>
              <w:rPr>
                <w:rFonts w:ascii="Times New Roman" w:hAnsi="Times New Roman"/>
                <w:sz w:val="20"/>
              </w:rPr>
              <w:t>Algorithm 2</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x_i ← EstimateTraits(b_i, M_i, s)</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 xml:space="preserve">    q_i ← ScoreCandidate(x_i, M_i, b_i)</w:t>
            </w:r>
            <w:r>
              <w:rPr>
                <w:sz w:val="20"/>
              </w:rPr>
              <w:tab/>
              <w:t xml:space="preserve">▷ </w:t>
            </w:r>
            <w:r>
              <w:rPr>
                <w:rFonts w:ascii="Times New Roman" w:hAnsi="Times New Roman"/>
                <w:sz w:val="20"/>
              </w:rPr>
              <w:t>measurement readiness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 xml:space="preserve">    </w:t>
            </w:r>
            <w:r>
              <w:rPr>
                <w:rFonts w:ascii="Times New Roman" w:hAnsi="Times New Roman"/>
                <w:b/>
                <w:sz w:val="20"/>
              </w:rPr>
              <w:t>if</w:t>
            </w:r>
            <w:r>
              <w:rPr>
                <w:rFonts w:ascii="Times New Roman" w:hAnsi="Times New Roman"/>
                <w:b w:val="0"/>
                <w:sz w:val="20"/>
              </w:rPr>
              <w:t xml:space="preserve"> q_i ≥ τ_q </w:t>
            </w:r>
            <w:r>
              <w:rPr>
                <w:rFonts w:ascii="Times New Roman" w:hAnsi="Times New Roman"/>
                <w:b/>
                <w:sz w:val="20"/>
              </w:rPr>
              <w:t>then</w:t>
            </w:r>
            <w:r>
              <w:rPr>
                <w:rFonts w:ascii="Times New Roman" w:hAnsi="Times New Roman"/>
                <w:b w:val="0"/>
                <w:sz w:val="20"/>
              </w:rPr>
              <w:t xml:space="preserve"> R ← R ∪ {(b_i, M_i, x_i, q_i)}</w:t>
            </w:r>
            <w:r>
              <w:rPr>
                <w:sz w:val="20"/>
              </w:rPr>
              <w:tab/>
              <w:t xml:space="preserve">▷ </w:t>
            </w:r>
            <w:r>
              <w:rPr>
                <w:rFonts w:ascii="Times New Roman" w:hAnsi="Times New Roman"/>
                <w:sz w:val="20"/>
              </w:rPr>
              <w:t>retain high-confidence candidate</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11:</w:t>
            </w:r>
          </w:p>
        </w:tc>
        <w:tc>
          <w:tcPr>
            <w:tcW w:type="dxa" w:w="7992"/>
            <w:tcBorders>
              <w:top w:val="nil"/>
              <w:bottom w:val="nil"/>
              <w:left w:val="nil"/>
              <w:right w:val="nil"/>
            </w:tcBorders>
          </w:tcPr>
          <w:p>
            <w:pPr>
              <w:spacing w:after="0"/>
            </w:pPr>
            <w:r/>
            <w:r>
              <w:rPr>
                <w:rFonts w:ascii="Times New Roman" w:hAnsi="Times New Roman"/>
                <w:b w:val="0"/>
                <w:sz w:val="20"/>
              </w:rPr>
              <w:t>P_scene, P_boll ← ProjectTo3D(I, R)</w:t>
            </w:r>
            <w:r>
              <w:rPr>
                <w:sz w:val="20"/>
              </w:rPr>
              <w:tab/>
              <w:t xml:space="preserve">▷ </w:t>
            </w:r>
            <w:r>
              <w:rPr>
                <w:rFonts w:ascii="Times New Roman" w:hAnsi="Times New Roman"/>
                <w:sz w:val="20"/>
              </w:rPr>
              <w:t>Algorithm 3</w:t>
            </w:r>
          </w:p>
        </w:tc>
      </w:tr>
      <w:tr>
        <w:tc>
          <w:tcPr>
            <w:tcW w:type="dxa" w:w="604"/>
            <w:tcBorders>
              <w:top w:val="nil"/>
              <w:bottom w:val="nil"/>
              <w:left w:val="nil"/>
              <w:right w:val="nil"/>
            </w:tcBorders>
          </w:tcPr>
          <w:p>
            <w:pPr>
              <w:spacing w:after="0"/>
            </w:pPr>
            <w:r/>
            <w:r>
              <w:rPr>
                <w:rFonts w:ascii="Times New Roman" w:hAnsi="Times New Roman"/>
                <w:sz w:val="20"/>
              </w:rPr>
              <w:t>12:</w:t>
            </w:r>
          </w:p>
        </w:tc>
        <w:tc>
          <w:tcPr>
            <w:tcW w:type="dxa" w:w="7992"/>
            <w:tcBorders>
              <w:top w:val="nil"/>
              <w:bottom w:val="nil"/>
              <w:left w:val="nil"/>
              <w:right w:val="nil"/>
            </w:tcBorders>
          </w:tcPr>
          <w:p>
            <w:pPr>
              <w:spacing w:after="0"/>
            </w:pPr>
            <w:r/>
            <w:r>
              <w:rPr>
                <w:rFonts w:ascii="Times New Roman" w:hAnsi="Times New Roman"/>
                <w:b w:val="0"/>
                <w:sz w:val="20"/>
              </w:rPr>
              <w:t>G ← AggregatePlotCells(R)</w:t>
            </w:r>
            <w:r>
              <w:rPr>
                <w:sz w:val="20"/>
              </w:rPr>
              <w:tab/>
              <w:t xml:space="preserve">▷ </w:t>
            </w:r>
            <w:r>
              <w:rPr>
                <w:rFonts w:ascii="Times New Roman" w:hAnsi="Times New Roman"/>
                <w:sz w:val="20"/>
              </w:rPr>
              <w:t>Algorithm 4</w:t>
            </w:r>
          </w:p>
        </w:tc>
      </w:tr>
      <w:tr>
        <w:tc>
          <w:tcPr>
            <w:tcW w:type="dxa" w:w="604"/>
            <w:tcBorders>
              <w:top w:val="nil"/>
              <w:bottom w:val="nil"/>
              <w:left w:val="nil"/>
              <w:right w:val="nil"/>
            </w:tcBorders>
          </w:tcPr>
          <w:p>
            <w:pPr>
              <w:spacing w:after="0"/>
            </w:pPr>
            <w:r/>
            <w:r>
              <w:rPr>
                <w:rFonts w:ascii="Times New Roman" w:hAnsi="Times New Roman"/>
                <w:sz w:val="20"/>
              </w:rPr>
              <w:t>13:</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R, mask overlay, P_scene, P_boll, G</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2 </w:t>
            </w:r>
            <w:r>
              <w:rPr>
                <w:sz w:val="22"/>
              </w:rPr>
              <w:t>SAM-style boll mask extraction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Crop padded region C_i around b_i</w:t>
            </w:r>
            <w:r>
              <w:rPr>
                <w:sz w:val="20"/>
              </w:rPr>
              <w:tab/>
              <w:t xml:space="preserve">▷ </w:t>
            </w:r>
            <w:r>
              <w:rPr>
                <w:rFonts w:ascii="Times New Roman" w:hAnsi="Times New Roman"/>
                <w:sz w:val="20"/>
              </w:rPr>
              <w:t>local prompt window</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val="0"/>
                <w:sz w:val="20"/>
              </w:rPr>
              <w:t>Convert C_i from RGB to HSV and compute excess-green response</w:t>
            </w:r>
            <w:r>
              <w:rPr>
                <w:sz w:val="20"/>
              </w:rPr>
              <w:tab/>
              <w:t xml:space="preserve">▷ </w:t>
            </w:r>
            <w:r>
              <w:rPr>
                <w:rFonts w:ascii="Times New Roman" w:hAnsi="Times New Roman"/>
                <w:sz w:val="20"/>
              </w:rPr>
              <w:t>color representation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M_i^0 ← pixels with low saturation, high value, and limited green response</w:t>
            </w:r>
            <w:r>
              <w:rPr>
                <w:sz w:val="20"/>
              </w:rPr>
              <w:tab/>
              <w:t xml:space="preserve">▷ </w:t>
            </w:r>
            <w:r>
              <w:rPr>
                <w:rFonts w:ascii="Times New Roman" w:hAnsi="Times New Roman"/>
                <w:sz w:val="20"/>
              </w:rPr>
              <w:t>lint likelihood</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M_i^1 ← Open(Close(M_i^0)) using an elliptical structuring element</w:t>
            </w:r>
            <w:r>
              <w:rPr>
                <w:sz w:val="20"/>
              </w:rPr>
              <w:tab/>
              <w:t xml:space="preserve">▷ </w:t>
            </w:r>
            <w:r>
              <w:rPr>
                <w:rFonts w:ascii="Times New Roman" w:hAnsi="Times New Roman"/>
                <w:sz w:val="20"/>
              </w:rPr>
              <w:t>remove speckle</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{K_j} ← ConnectedComponents(M_i^1)</w:t>
            </w:r>
            <w:r>
              <w:rPr>
                <w:sz w:val="20"/>
              </w:rPr>
              <w:tab/>
              <w:t xml:space="preserve">▷ </w:t>
            </w:r>
            <w:r>
              <w:rPr>
                <w:rFonts w:ascii="Times New Roman" w:hAnsi="Times New Roman"/>
                <w:sz w:val="20"/>
              </w:rPr>
              <w:t>candidate components</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M_i ← arg max_{K_j} Area(K_j)</w:t>
            </w:r>
            <w:r>
              <w:rPr>
                <w:sz w:val="20"/>
              </w:rPr>
              <w:tab/>
              <w:t xml:space="preserve">▷ </w:t>
            </w:r>
            <w:r>
              <w:rPr>
                <w:rFonts w:ascii="Times New Roman" w:hAnsi="Times New Roman"/>
                <w:sz w:val="20"/>
              </w:rPr>
              <w:t>largest lint component</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m_i ← {Area(M_i), length(M_i), width(M_i), centroid(M_i)}</w:t>
            </w:r>
            <w:r>
              <w:rPr>
                <w:sz w:val="20"/>
              </w:rPr>
              <w:tab/>
              <w:t xml:space="preserve">▷ </w:t>
            </w:r>
            <w:r>
              <w:rPr>
                <w:rFonts w:ascii="Times New Roman" w:hAnsi="Times New Roman"/>
                <w:sz w:val="20"/>
              </w:rPr>
              <w:t>mask statistics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M_i, m_i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3 </w:t>
            </w:r>
            <w:r>
              <w:rPr>
                <w:sz w:val="22"/>
              </w:rPr>
              <w:t>Mask-to-3D projection and trait estimation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S_i ← {(u, v) | M_i(u, v) = 1}</w:t>
            </w:r>
            <w:r>
              <w:rPr>
                <w:sz w:val="20"/>
              </w:rPr>
              <w:tab/>
              <w:t xml:space="preserve">▷ </w:t>
            </w:r>
            <w:r>
              <w:rPr>
                <w:rFonts w:ascii="Times New Roman" w:hAnsi="Times New Roman"/>
                <w:sz w:val="20"/>
              </w:rPr>
              <w:t>foreground mask pixels</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|S_i| &gt; N_max </w:t>
            </w:r>
            <w:r>
              <w:rPr>
                <w:rFonts w:ascii="Times New Roman" w:hAnsi="Times New Roman"/>
                <w:b/>
                <w:sz w:val="20"/>
              </w:rPr>
              <w:t>then</w:t>
            </w:r>
            <w:r>
              <w:rPr>
                <w:rFonts w:ascii="Times New Roman" w:hAnsi="Times New Roman"/>
                <w:b w:val="0"/>
                <w:sz w:val="20"/>
              </w:rPr>
              <w:t xml:space="preserve"> subsample S_i for interactive review</w:t>
            </w:r>
            <w:r>
              <w:rPr>
                <w:sz w:val="20"/>
              </w:rPr>
              <w:tab/>
              <w:t xml:space="preserve">▷ </w:t>
            </w:r>
            <w:r>
              <w:rPr>
                <w:rFonts w:ascii="Times New Roman" w:hAnsi="Times New Roman"/>
                <w:sz w:val="20"/>
              </w:rPr>
              <w:t>rendering budget</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pixel (u, v) ∈ S_i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(x, y, z) ← BackProject(u, v, Z)</w:t>
            </w:r>
            <w:r>
              <w:rPr>
                <w:sz w:val="20"/>
              </w:rPr>
              <w:tab/>
              <w:t xml:space="preserve">▷ </w:t>
            </w:r>
            <w:r>
              <w:rPr>
                <w:rFonts w:ascii="Times New Roman" w:hAnsi="Times New Roman"/>
                <w:sz w:val="20"/>
              </w:rPr>
              <w:t>proxy or calibrated geometry</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Append (x, y, z, color_i) to P_boll</w:t>
            </w:r>
            <w:r>
              <w:rPr>
                <w:sz w:val="20"/>
              </w:rPr>
              <w:tab/>
              <w:t xml:space="preserve">▷ </w:t>
            </w:r>
            <w:r>
              <w:rPr>
                <w:rFonts w:ascii="Times New Roman" w:hAnsi="Times New Roman"/>
                <w:sz w:val="20"/>
              </w:rPr>
              <w:t>highlighted boll cloud</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Compute L_i, W_i, D_i, U_i, V_i^vis, M_i</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Export P_boll as boll_mask_point_cloud.ply</w:t>
            </w:r>
            <w:r>
              <w:rPr>
                <w:sz w:val="20"/>
              </w:rPr>
              <w:tab/>
              <w:t xml:space="preserve">▷ </w:t>
            </w:r>
            <w:r>
              <w:rPr>
                <w:rFonts w:ascii="Times New Roman" w:hAnsi="Times New Roman"/>
                <w:sz w:val="20"/>
              </w:rPr>
              <w:t>3D review artifact</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P_boll and trait vector x_i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4 </w:t>
            </w:r>
            <w:r>
              <w:rPr>
                <w:sz w:val="22"/>
              </w:rPr>
              <w:t>Plot-cell aggregation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i ∈ R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 xml:space="preserve">    center_i ← centroid(M_i) or center(b_i)</w:t>
            </w:r>
            <w:r>
              <w:rPr>
                <w:sz w:val="20"/>
              </w:rPr>
              <w:tab/>
              <w:t xml:space="preserve">▷ </w:t>
            </w:r>
            <w:r>
              <w:rPr>
                <w:rFonts w:ascii="Times New Roman" w:hAnsi="Times New Roman"/>
                <w:sz w:val="20"/>
              </w:rPr>
              <w:t>candidate location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Find cell G_rc such that center_i ∈ G_rc</w:t>
            </w:r>
            <w:r>
              <w:rPr>
                <w:sz w:val="20"/>
              </w:rPr>
              <w:tab/>
              <w:t xml:space="preserve">▷ </w:t>
            </w:r>
            <w:r>
              <w:rPr>
                <w:rFonts w:ascii="Times New Roman" w:hAnsi="Times New Roman"/>
                <w:sz w:val="20"/>
              </w:rPr>
              <w:t>grid assignment</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C_rc ← C_rc + 1</w:t>
            </w:r>
            <w:r>
              <w:rPr>
                <w:sz w:val="20"/>
              </w:rPr>
              <w:tab/>
              <w:t xml:space="preserve">▷ </w:t>
            </w:r>
            <w:r>
              <w:rPr>
                <w:rFonts w:ascii="Times New Roman" w:hAnsi="Times New Roman"/>
                <w:sz w:val="20"/>
              </w:rPr>
              <w:t>cell count</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T_rc ← T_rc ∪ {L_i, W_i, D_i, U_i, M_i}</w:t>
            </w:r>
            <w:r>
              <w:rPr>
                <w:sz w:val="20"/>
              </w:rPr>
              <w:tab/>
              <w:t xml:space="preserve">▷ </w:t>
            </w:r>
            <w:r>
              <w:rPr>
                <w:rFonts w:ascii="Times New Roman" w:hAnsi="Times New Roman"/>
                <w:sz w:val="20"/>
              </w:rPr>
              <w:t>cell traits</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Compute mean traits, coverage, and uncertainty for each occupied G_rc</w:t>
            </w:r>
            <w:r>
              <w:rPr>
                <w:sz w:val="20"/>
              </w:rPr>
              <w:tab/>
              <w:t xml:space="preserve">▷ </w:t>
            </w:r>
            <w:r>
              <w:rPr>
                <w:rFonts w:ascii="Times New Roman" w:hAnsi="Times New Roman"/>
                <w:sz w:val="20"/>
              </w:rPr>
              <w:t>cell summary</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{C_rc, mean(T_rc), confidence_rc} for all occupied cells</w:t>
            </w:r>
          </w:p>
        </w:tc>
      </w:tr>
      <w:tr>
        <w:tc>
          <w:tcPr>
            <w:tcW w:type="dxa" w:w="8596"/>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8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 Detailed CSV outputs and expanded ablations are retained as supplementary repository artifacts to keep the main manuscript within the ICPA full-paper page budget.</w:t>
      </w:r>
    </w:p>
    <w:p>
      <w:pPr>
        <w:pStyle w:val="Heading2"/>
      </w:pPr>
      <w:r>
        <w:t>6.1 Dataset-scale audit</w:t>
      </w:r>
    </w:p>
    <w:p>
      <w:pPr>
        <w:spacing w:after="8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spacing w:before="100" w:after="40"/>
      </w:pPr>
      <w:r>
        <w:rPr>
          <w:b/>
        </w:rPr>
        <w:t xml:space="preserve">Table </w:t>
      </w:r>
      <w:r>
        <w:t>3 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b/>
                <w:sz w:val="17"/>
              </w:rPr>
              <w:t>Phase</w:t>
            </w:r>
          </w:p>
        </w:tc>
        <w:tc>
          <w:tcPr>
            <w:tcW w:type="dxa" w:w="1080"/>
            <w:shd w:fill="EDEDED"/>
            <w:vAlign w:val="center"/>
          </w:tcPr>
          <w:p>
            <w:pPr>
              <w:spacing w:after="0"/>
            </w:pPr>
            <w:r/>
            <w:r>
              <w:rPr>
                <w:b/>
                <w:sz w:val="17"/>
              </w:rPr>
              <w:t>Images</w:t>
            </w:r>
          </w:p>
        </w:tc>
        <w:tc>
          <w:tcPr>
            <w:tcW w:type="dxa" w:w="1800"/>
            <w:shd w:fill="EDEDED"/>
            <w:vAlign w:val="center"/>
          </w:tcPr>
          <w:p>
            <w:pPr>
              <w:spacing w:after="0"/>
            </w:pPr>
            <w:r/>
            <w:r>
              <w:rPr>
                <w:b/>
                <w:sz w:val="17"/>
              </w:rPr>
              <w:t>Detected count</w:t>
            </w:r>
          </w:p>
        </w:tc>
        <w:tc>
          <w:tcPr>
            <w:tcW w:type="dxa" w:w="1800"/>
            <w:shd w:fill="EDEDED"/>
            <w:vAlign w:val="center"/>
          </w:tcPr>
          <w:p>
            <w:pPr>
              <w:spacing w:after="0"/>
            </w:pPr>
            <w:r/>
            <w:r>
              <w:rPr>
                <w:b/>
                <w:sz w:val="17"/>
              </w:rPr>
              <w:t>Raw candidates</w:t>
            </w:r>
          </w:p>
        </w:tc>
        <w:tc>
          <w:tcPr>
            <w:tcW w:type="dxa" w:w="1944"/>
            <w:shd w:fill="EDEDED"/>
            <w:vAlign w:val="center"/>
          </w:tcPr>
          <w:p>
            <w:pPr>
              <w:spacing w:after="0"/>
            </w:pPr>
            <w:r/>
            <w:r>
              <w:rPr>
                <w:b/>
                <w:sz w:val="17"/>
              </w:rPr>
              <w:t>Mean count/image</w:t>
            </w:r>
          </w:p>
        </w:tc>
      </w:tr>
      <w:tr>
        <w:tc>
          <w:tcPr>
            <w:tcW w:type="dxa" w:w="1080"/>
            <w:vAlign w:val="center"/>
          </w:tcPr>
          <w:p>
            <w:pPr>
              <w:spacing w:after="0"/>
            </w:pPr>
            <w:r/>
            <w:r>
              <w:rPr>
                <w:b w:val="0"/>
                <w:sz w:val="17"/>
              </w:rPr>
              <w:t>pre</w:t>
            </w:r>
          </w:p>
        </w:tc>
        <w:tc>
          <w:tcPr>
            <w:tcW w:type="dxa" w:w="1080"/>
            <w:vAlign w:val="center"/>
          </w:tcPr>
          <w:p>
            <w:pPr>
              <w:spacing w:after="0"/>
            </w:pPr>
            <w:r/>
            <w:r>
              <w:rPr>
                <w:b w:val="0"/>
                <w:sz w:val="17"/>
              </w:rPr>
              <w:t>680</w:t>
            </w:r>
          </w:p>
        </w:tc>
        <w:tc>
          <w:tcPr>
            <w:tcW w:type="dxa" w:w="1800"/>
            <w:vAlign w:val="center"/>
          </w:tcPr>
          <w:p>
            <w:pPr>
              <w:spacing w:after="0"/>
            </w:pPr>
            <w:r/>
            <w:r>
              <w:rPr>
                <w:b w:val="0"/>
                <w:sz w:val="17"/>
              </w:rPr>
              <w:t>2914620</w:t>
            </w:r>
          </w:p>
        </w:tc>
        <w:tc>
          <w:tcPr>
            <w:tcW w:type="dxa" w:w="1800"/>
            <w:vAlign w:val="center"/>
          </w:tcPr>
          <w:p>
            <w:pPr>
              <w:spacing w:after="0"/>
            </w:pPr>
            <w:r/>
            <w:r>
              <w:rPr>
                <w:b w:val="0"/>
                <w:sz w:val="17"/>
              </w:rPr>
              <w:t>1821639</w:t>
            </w:r>
          </w:p>
        </w:tc>
        <w:tc>
          <w:tcPr>
            <w:tcW w:type="dxa" w:w="1944"/>
            <w:vAlign w:val="center"/>
          </w:tcPr>
          <w:p>
            <w:pPr>
              <w:spacing w:after="0"/>
            </w:pPr>
            <w:r/>
            <w:r>
              <w:rPr>
                <w:b w:val="0"/>
                <w:sz w:val="17"/>
              </w:rPr>
              <w:t>4286.2</w:t>
            </w:r>
          </w:p>
        </w:tc>
      </w:tr>
      <w:tr>
        <w:tc>
          <w:tcPr>
            <w:tcW w:type="dxa" w:w="1080"/>
            <w:vAlign w:val="center"/>
          </w:tcPr>
          <w:p>
            <w:pPr>
              <w:spacing w:after="0"/>
            </w:pPr>
            <w:r/>
            <w:r>
              <w:rPr>
                <w:b w:val="0"/>
                <w:sz w:val="17"/>
              </w:rPr>
              <w:t>post</w:t>
            </w:r>
          </w:p>
        </w:tc>
        <w:tc>
          <w:tcPr>
            <w:tcW w:type="dxa" w:w="1080"/>
            <w:vAlign w:val="center"/>
          </w:tcPr>
          <w:p>
            <w:pPr>
              <w:spacing w:after="0"/>
            </w:pPr>
            <w:r/>
            <w:r>
              <w:rPr>
                <w:b w:val="0"/>
                <w:sz w:val="17"/>
              </w:rPr>
              <w:t>869</w:t>
            </w:r>
          </w:p>
        </w:tc>
        <w:tc>
          <w:tcPr>
            <w:tcW w:type="dxa" w:w="1800"/>
            <w:vAlign w:val="center"/>
          </w:tcPr>
          <w:p>
            <w:pPr>
              <w:spacing w:after="0"/>
            </w:pPr>
            <w:r/>
            <w:r>
              <w:rPr>
                <w:b w:val="0"/>
                <w:sz w:val="17"/>
              </w:rPr>
              <w:t>2698919</w:t>
            </w:r>
          </w:p>
        </w:tc>
        <w:tc>
          <w:tcPr>
            <w:tcW w:type="dxa" w:w="1800"/>
            <w:vAlign w:val="center"/>
          </w:tcPr>
          <w:p>
            <w:pPr>
              <w:spacing w:after="0"/>
            </w:pPr>
            <w:r/>
            <w:r>
              <w:rPr>
                <w:b w:val="0"/>
                <w:sz w:val="17"/>
              </w:rPr>
              <w:t>2698919</w:t>
            </w:r>
          </w:p>
        </w:tc>
        <w:tc>
          <w:tcPr>
            <w:tcW w:type="dxa" w:w="1944"/>
            <w:vAlign w:val="center"/>
          </w:tcPr>
          <w:p>
            <w:pPr>
              <w:spacing w:after="0"/>
            </w:pPr>
            <w:r/>
            <w:r>
              <w:rPr>
                <w:b w:val="0"/>
                <w:sz w:val="17"/>
              </w:rPr>
              <w:t>3105.8</w:t>
            </w:r>
          </w:p>
        </w:tc>
      </w:tr>
    </w:tbl>
    <w:p>
      <w:pPr>
        <w:spacing w:after="8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8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spacing w:before="100" w:after="40"/>
      </w:pPr>
      <w:r>
        <w:rPr>
          <w:b/>
        </w:rPr>
        <w:t xml:space="preserve">Table </w:t>
      </w:r>
      <w:r>
        <w:t>4 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b/>
                <w:sz w:val="17"/>
              </w:rPr>
              <w:t>Phase</w:t>
            </w:r>
          </w:p>
        </w:tc>
        <w:tc>
          <w:tcPr>
            <w:tcW w:type="dxa" w:w="1152"/>
            <w:shd w:fill="EDEDED"/>
            <w:vAlign w:val="center"/>
          </w:tcPr>
          <w:p>
            <w:pPr>
              <w:spacing w:after="0"/>
            </w:pPr>
            <w:r/>
            <w:r>
              <w:rPr>
                <w:b/>
                <w:sz w:val="17"/>
              </w:rPr>
              <w:t>Candidates</w:t>
            </w:r>
          </w:p>
        </w:tc>
        <w:tc>
          <w:tcPr>
            <w:tcW w:type="dxa" w:w="1224"/>
            <w:shd w:fill="EDEDED"/>
            <w:vAlign w:val="center"/>
          </w:tcPr>
          <w:p>
            <w:pPr>
              <w:spacing w:after="0"/>
            </w:pPr>
            <w:r/>
            <w:r>
              <w:rPr>
                <w:b/>
                <w:sz w:val="17"/>
              </w:rPr>
              <w:t>Ready score</w:t>
            </w:r>
          </w:p>
        </w:tc>
        <w:tc>
          <w:tcPr>
            <w:tcW w:type="dxa" w:w="1080"/>
            <w:shd w:fill="EDEDED"/>
            <w:vAlign w:val="center"/>
          </w:tcPr>
          <w:p>
            <w:pPr>
              <w:spacing w:after="0"/>
            </w:pPr>
            <w:r/>
            <w:r>
              <w:rPr>
                <w:b/>
                <w:sz w:val="17"/>
              </w:rPr>
              <w:t>Lint frac.</w:t>
            </w:r>
          </w:p>
        </w:tc>
        <w:tc>
          <w:tcPr>
            <w:tcW w:type="dxa" w:w="1080"/>
            <w:shd w:fill="EDEDED"/>
            <w:vAlign w:val="center"/>
          </w:tcPr>
          <w:p>
            <w:pPr>
              <w:spacing w:after="0"/>
            </w:pPr>
            <w:r/>
            <w:r>
              <w:rPr>
                <w:b/>
                <w:sz w:val="17"/>
              </w:rPr>
              <w:t>Green frac.</w:t>
            </w:r>
          </w:p>
        </w:tc>
        <w:tc>
          <w:tcPr>
            <w:tcW w:type="dxa" w:w="1080"/>
            <w:shd w:fill="EDEDED"/>
            <w:vAlign w:val="center"/>
          </w:tcPr>
          <w:p>
            <w:pPr>
              <w:spacing w:after="0"/>
            </w:pPr>
            <w:r/>
            <w:r>
              <w:rPr>
                <w:b/>
                <w:sz w:val="17"/>
              </w:rPr>
              <w:t>Visibility</w:t>
            </w:r>
          </w:p>
        </w:tc>
        <w:tc>
          <w:tcPr>
            <w:tcW w:type="dxa" w:w="1440"/>
            <w:shd w:fill="EDEDED"/>
            <w:vAlign w:val="center"/>
          </w:tcPr>
          <w:p>
            <w:pPr>
              <w:spacing w:after="0"/>
            </w:pPr>
            <w:r/>
            <w:r>
              <w:rPr>
                <w:b/>
                <w:sz w:val="17"/>
              </w:rPr>
              <w:t>Diam. proxy (mm)</w:t>
            </w:r>
          </w:p>
        </w:tc>
        <w:tc>
          <w:tcPr>
            <w:tcW w:type="dxa" w:w="1512"/>
            <w:shd w:fill="EDEDED"/>
            <w:vAlign w:val="center"/>
          </w:tcPr>
          <w:p>
            <w:pPr>
              <w:spacing w:after="0"/>
            </w:pPr>
            <w:r/>
            <w:r>
              <w:rPr>
                <w:b/>
                <w:sz w:val="17"/>
              </w:rPr>
              <w:t>Vol. proxy (10^3 mm3)</w:t>
            </w:r>
          </w:p>
        </w:tc>
      </w:tr>
      <w:tr>
        <w:tc>
          <w:tcPr>
            <w:tcW w:type="dxa" w:w="792"/>
            <w:vAlign w:val="center"/>
          </w:tcPr>
          <w:p>
            <w:pPr>
              <w:spacing w:after="0"/>
            </w:pPr>
            <w:r/>
            <w:r>
              <w:rPr>
                <w:b w:val="0"/>
                <w:sz w:val="17"/>
              </w:rPr>
              <w:t>post</w:t>
            </w:r>
          </w:p>
        </w:tc>
        <w:tc>
          <w:tcPr>
            <w:tcW w:type="dxa" w:w="1152"/>
            <w:vAlign w:val="center"/>
          </w:tcPr>
          <w:p>
            <w:pPr>
              <w:spacing w:after="0"/>
            </w:pPr>
            <w:r/>
            <w:r>
              <w:rPr>
                <w:b w:val="0"/>
                <w:sz w:val="17"/>
              </w:rPr>
              <w:t>8000</w:t>
            </w:r>
          </w:p>
        </w:tc>
        <w:tc>
          <w:tcPr>
            <w:tcW w:type="dxa" w:w="1224"/>
            <w:vAlign w:val="center"/>
          </w:tcPr>
          <w:p>
            <w:pPr>
              <w:spacing w:after="0"/>
            </w:pPr>
            <w:r/>
            <w:r>
              <w:rPr>
                <w:b w:val="0"/>
                <w:sz w:val="17"/>
              </w:rPr>
              <w:t>0.636</w:t>
            </w:r>
          </w:p>
        </w:tc>
        <w:tc>
          <w:tcPr>
            <w:tcW w:type="dxa" w:w="1080"/>
            <w:vAlign w:val="center"/>
          </w:tcPr>
          <w:p>
            <w:pPr>
              <w:spacing w:after="0"/>
            </w:pPr>
            <w:r/>
            <w:r>
              <w:rPr>
                <w:b w:val="0"/>
                <w:sz w:val="17"/>
              </w:rPr>
              <w:t>0.491</w:t>
            </w:r>
          </w:p>
        </w:tc>
        <w:tc>
          <w:tcPr>
            <w:tcW w:type="dxa" w:w="1080"/>
            <w:vAlign w:val="center"/>
          </w:tcPr>
          <w:p>
            <w:pPr>
              <w:spacing w:after="0"/>
            </w:pPr>
            <w:r/>
            <w:r>
              <w:rPr>
                <w:b w:val="0"/>
                <w:sz w:val="17"/>
              </w:rPr>
              <w:t>0.058</w:t>
            </w:r>
          </w:p>
        </w:tc>
        <w:tc>
          <w:tcPr>
            <w:tcW w:type="dxa" w:w="1080"/>
            <w:vAlign w:val="center"/>
          </w:tcPr>
          <w:p>
            <w:pPr>
              <w:spacing w:after="0"/>
            </w:pPr>
            <w:r/>
            <w:r>
              <w:rPr>
                <w:b w:val="0"/>
                <w:sz w:val="17"/>
              </w:rPr>
              <w:t>0.459</w:t>
            </w:r>
          </w:p>
        </w:tc>
        <w:tc>
          <w:tcPr>
            <w:tcW w:type="dxa" w:w="1440"/>
            <w:vAlign w:val="center"/>
          </w:tcPr>
          <w:p>
            <w:pPr>
              <w:spacing w:after="0"/>
            </w:pPr>
            <w:r/>
            <w:r>
              <w:rPr>
                <w:b w:val="0"/>
                <w:sz w:val="17"/>
              </w:rPr>
              <w:t>211.35</w:t>
            </w:r>
          </w:p>
        </w:tc>
        <w:tc>
          <w:tcPr>
            <w:tcW w:type="dxa" w:w="1512"/>
            <w:vAlign w:val="center"/>
          </w:tcPr>
          <w:p>
            <w:pPr>
              <w:spacing w:after="0"/>
            </w:pPr>
            <w:r/>
            <w:r>
              <w:rPr>
                <w:b w:val="0"/>
                <w:sz w:val="17"/>
              </w:rPr>
              <w:t>16105.3</w:t>
            </w:r>
          </w:p>
        </w:tc>
      </w:tr>
      <w:tr>
        <w:tc>
          <w:tcPr>
            <w:tcW w:type="dxa" w:w="792"/>
            <w:vAlign w:val="center"/>
          </w:tcPr>
          <w:p>
            <w:pPr>
              <w:spacing w:after="0"/>
            </w:pPr>
            <w:r/>
            <w:r>
              <w:rPr>
                <w:b w:val="0"/>
                <w:sz w:val="17"/>
              </w:rPr>
              <w:t>pre</w:t>
            </w:r>
          </w:p>
        </w:tc>
        <w:tc>
          <w:tcPr>
            <w:tcW w:type="dxa" w:w="1152"/>
            <w:vAlign w:val="center"/>
          </w:tcPr>
          <w:p>
            <w:pPr>
              <w:spacing w:after="0"/>
            </w:pPr>
            <w:r/>
            <w:r>
              <w:rPr>
                <w:b w:val="0"/>
                <w:sz w:val="17"/>
              </w:rPr>
              <w:t>8000</w:t>
            </w:r>
          </w:p>
        </w:tc>
        <w:tc>
          <w:tcPr>
            <w:tcW w:type="dxa" w:w="1224"/>
            <w:vAlign w:val="center"/>
          </w:tcPr>
          <w:p>
            <w:pPr>
              <w:spacing w:after="0"/>
            </w:pPr>
            <w:r/>
            <w:r>
              <w:rPr>
                <w:b w:val="0"/>
                <w:sz w:val="17"/>
              </w:rPr>
              <w:t>0.584</w:t>
            </w:r>
          </w:p>
        </w:tc>
        <w:tc>
          <w:tcPr>
            <w:tcW w:type="dxa" w:w="1080"/>
            <w:vAlign w:val="center"/>
          </w:tcPr>
          <w:p>
            <w:pPr>
              <w:spacing w:after="0"/>
            </w:pPr>
            <w:r/>
            <w:r>
              <w:rPr>
                <w:b w:val="0"/>
                <w:sz w:val="17"/>
              </w:rPr>
              <w:t>0.525</w:t>
            </w:r>
          </w:p>
        </w:tc>
        <w:tc>
          <w:tcPr>
            <w:tcW w:type="dxa" w:w="1080"/>
            <w:vAlign w:val="center"/>
          </w:tcPr>
          <w:p>
            <w:pPr>
              <w:spacing w:after="0"/>
            </w:pPr>
            <w:r/>
            <w:r>
              <w:rPr>
                <w:b w:val="0"/>
                <w:sz w:val="17"/>
              </w:rPr>
              <w:t>0.075</w:t>
            </w:r>
          </w:p>
        </w:tc>
        <w:tc>
          <w:tcPr>
            <w:tcW w:type="dxa" w:w="1080"/>
            <w:vAlign w:val="center"/>
          </w:tcPr>
          <w:p>
            <w:pPr>
              <w:spacing w:after="0"/>
            </w:pPr>
            <w:r/>
            <w:r>
              <w:rPr>
                <w:b w:val="0"/>
                <w:sz w:val="17"/>
              </w:rPr>
              <w:t>0.509</w:t>
            </w:r>
          </w:p>
        </w:tc>
        <w:tc>
          <w:tcPr>
            <w:tcW w:type="dxa" w:w="1440"/>
            <w:vAlign w:val="center"/>
          </w:tcPr>
          <w:p>
            <w:pPr>
              <w:spacing w:after="0"/>
            </w:pPr>
            <w:r/>
            <w:r>
              <w:rPr>
                <w:b w:val="0"/>
                <w:sz w:val="17"/>
              </w:rPr>
              <w:t>151.86</w:t>
            </w:r>
          </w:p>
        </w:tc>
        <w:tc>
          <w:tcPr>
            <w:tcW w:type="dxa" w:w="1512"/>
            <w:vAlign w:val="center"/>
          </w:tcPr>
          <w:p>
            <w:pPr>
              <w:spacing w:after="0"/>
            </w:pPr>
            <w:r/>
            <w:r>
              <w:rPr>
                <w:b w:val="0"/>
                <w:sz w:val="17"/>
              </w:rPr>
              <w:t>10726.1</w:t>
            </w:r>
          </w:p>
        </w:tc>
      </w:tr>
    </w:tbl>
    <w:p>
      <w:pPr>
        <w:spacing w:before="100" w:after="40"/>
      </w:pPr>
      <w:r>
        <w:rPr>
          <w:b/>
        </w:rPr>
        <w:t xml:space="preserve">Table </w:t>
      </w:r>
      <w:r>
        <w:t>5 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b/>
                <w:sz w:val="17"/>
              </w:rPr>
              <w:t>Metric</w:t>
            </w:r>
          </w:p>
        </w:tc>
        <w:tc>
          <w:tcPr>
            <w:tcW w:type="dxa" w:w="1296"/>
            <w:shd w:fill="EDEDED"/>
            <w:vAlign w:val="center"/>
          </w:tcPr>
          <w:p>
            <w:pPr>
              <w:spacing w:after="0"/>
            </w:pPr>
            <w:r/>
            <w:r>
              <w:rPr>
                <w:b/>
                <w:sz w:val="17"/>
              </w:rPr>
              <w:t>Pre mean</w:t>
            </w:r>
          </w:p>
        </w:tc>
        <w:tc>
          <w:tcPr>
            <w:tcW w:type="dxa" w:w="1296"/>
            <w:shd w:fill="EDEDED"/>
            <w:vAlign w:val="center"/>
          </w:tcPr>
          <w:p>
            <w:pPr>
              <w:spacing w:after="0"/>
            </w:pPr>
            <w:r/>
            <w:r>
              <w:rPr>
                <w:b/>
                <w:sz w:val="17"/>
              </w:rPr>
              <w:t>Post mean</w:t>
            </w:r>
          </w:p>
        </w:tc>
        <w:tc>
          <w:tcPr>
            <w:tcW w:type="dxa" w:w="1296"/>
            <w:shd w:fill="EDEDED"/>
            <w:vAlign w:val="center"/>
          </w:tcPr>
          <w:p>
            <w:pPr>
              <w:spacing w:after="0"/>
            </w:pPr>
            <w:r/>
            <w:r>
              <w:rPr>
                <w:b/>
                <w:sz w:val="17"/>
              </w:rPr>
              <w:t>Post - pre</w:t>
            </w:r>
          </w:p>
        </w:tc>
        <w:tc>
          <w:tcPr>
            <w:tcW w:type="dxa" w:w="1440"/>
            <w:shd w:fill="EDEDED"/>
            <w:vAlign w:val="center"/>
          </w:tcPr>
          <w:p>
            <w:pPr>
              <w:spacing w:after="0"/>
            </w:pPr>
            <w:r/>
            <w:r>
              <w:rPr>
                <w:b/>
                <w:sz w:val="17"/>
              </w:rPr>
              <w:t>Relative change</w:t>
            </w:r>
          </w:p>
        </w:tc>
      </w:tr>
      <w:tr>
        <w:tc>
          <w:tcPr>
            <w:tcW w:type="dxa" w:w="2376"/>
            <w:vAlign w:val="center"/>
          </w:tcPr>
          <w:p>
            <w:pPr>
              <w:spacing w:after="0"/>
            </w:pPr>
            <w:r/>
            <w:r>
              <w:rPr>
                <w:b w:val="0"/>
                <w:sz w:val="17"/>
              </w:rPr>
              <w:t>Measurement-readiness score</w:t>
            </w:r>
          </w:p>
        </w:tc>
        <w:tc>
          <w:tcPr>
            <w:tcW w:type="dxa" w:w="1296"/>
            <w:vAlign w:val="center"/>
          </w:tcPr>
          <w:p>
            <w:pPr>
              <w:spacing w:after="0"/>
            </w:pPr>
            <w:r/>
            <w:r>
              <w:rPr>
                <w:b w:val="0"/>
                <w:sz w:val="17"/>
              </w:rPr>
              <w:t>0.584</w:t>
            </w:r>
          </w:p>
        </w:tc>
        <w:tc>
          <w:tcPr>
            <w:tcW w:type="dxa" w:w="1296"/>
            <w:vAlign w:val="center"/>
          </w:tcPr>
          <w:p>
            <w:pPr>
              <w:spacing w:after="0"/>
            </w:pPr>
            <w:r/>
            <w:r>
              <w:rPr>
                <w:b w:val="0"/>
                <w:sz w:val="17"/>
              </w:rPr>
              <w:t>0.636</w:t>
            </w:r>
          </w:p>
        </w:tc>
        <w:tc>
          <w:tcPr>
            <w:tcW w:type="dxa" w:w="1296"/>
            <w:vAlign w:val="center"/>
          </w:tcPr>
          <w:p>
            <w:pPr>
              <w:spacing w:after="0"/>
            </w:pPr>
            <w:r/>
            <w:r>
              <w:rPr>
                <w:b w:val="0"/>
                <w:sz w:val="17"/>
              </w:rPr>
              <w:t>0.052</w:t>
            </w:r>
          </w:p>
        </w:tc>
        <w:tc>
          <w:tcPr>
            <w:tcW w:type="dxa" w:w="1440"/>
            <w:vAlign w:val="center"/>
          </w:tcPr>
          <w:p>
            <w:pPr>
              <w:spacing w:after="0"/>
            </w:pPr>
            <w:r/>
            <w:r>
              <w:rPr>
                <w:b w:val="0"/>
                <w:sz w:val="17"/>
              </w:rPr>
              <w:t>+8.84%</w:t>
            </w:r>
          </w:p>
        </w:tc>
      </w:tr>
      <w:tr>
        <w:tc>
          <w:tcPr>
            <w:tcW w:type="dxa" w:w="2376"/>
            <w:vAlign w:val="center"/>
          </w:tcPr>
          <w:p>
            <w:pPr>
              <w:spacing w:after="0"/>
            </w:pPr>
            <w:r/>
            <w:r>
              <w:rPr>
                <w:b w:val="0"/>
                <w:sz w:val="17"/>
              </w:rPr>
              <w:t>Lint fraction</w:t>
            </w:r>
          </w:p>
        </w:tc>
        <w:tc>
          <w:tcPr>
            <w:tcW w:type="dxa" w:w="1296"/>
            <w:vAlign w:val="center"/>
          </w:tcPr>
          <w:p>
            <w:pPr>
              <w:spacing w:after="0"/>
            </w:pPr>
            <w:r/>
            <w:r>
              <w:rPr>
                <w:b w:val="0"/>
                <w:sz w:val="17"/>
              </w:rPr>
              <w:t>0.525</w:t>
            </w:r>
          </w:p>
        </w:tc>
        <w:tc>
          <w:tcPr>
            <w:tcW w:type="dxa" w:w="1296"/>
            <w:vAlign w:val="center"/>
          </w:tcPr>
          <w:p>
            <w:pPr>
              <w:spacing w:after="0"/>
            </w:pPr>
            <w:r/>
            <w:r>
              <w:rPr>
                <w:b w:val="0"/>
                <w:sz w:val="17"/>
              </w:rPr>
              <w:t>0.491</w:t>
            </w:r>
          </w:p>
        </w:tc>
        <w:tc>
          <w:tcPr>
            <w:tcW w:type="dxa" w:w="1296"/>
            <w:vAlign w:val="center"/>
          </w:tcPr>
          <w:p>
            <w:pPr>
              <w:spacing w:after="0"/>
            </w:pPr>
            <w:r/>
            <w:r>
              <w:rPr>
                <w:b w:val="0"/>
                <w:sz w:val="17"/>
              </w:rPr>
              <w:t>-0.034</w:t>
            </w:r>
          </w:p>
        </w:tc>
        <w:tc>
          <w:tcPr>
            <w:tcW w:type="dxa" w:w="1440"/>
            <w:vAlign w:val="center"/>
          </w:tcPr>
          <w:p>
            <w:pPr>
              <w:spacing w:after="0"/>
            </w:pPr>
            <w:r/>
            <w:r>
              <w:rPr>
                <w:b w:val="0"/>
                <w:sz w:val="17"/>
              </w:rPr>
              <w:t>-6.49%</w:t>
            </w:r>
          </w:p>
        </w:tc>
      </w:tr>
      <w:tr>
        <w:tc>
          <w:tcPr>
            <w:tcW w:type="dxa" w:w="2376"/>
            <w:vAlign w:val="center"/>
          </w:tcPr>
          <w:p>
            <w:pPr>
              <w:spacing w:after="0"/>
            </w:pPr>
            <w:r/>
            <w:r>
              <w:rPr>
                <w:b w:val="0"/>
                <w:sz w:val="17"/>
              </w:rPr>
              <w:t>Green fraction</w:t>
            </w:r>
          </w:p>
        </w:tc>
        <w:tc>
          <w:tcPr>
            <w:tcW w:type="dxa" w:w="1296"/>
            <w:vAlign w:val="center"/>
          </w:tcPr>
          <w:p>
            <w:pPr>
              <w:spacing w:after="0"/>
            </w:pPr>
            <w:r/>
            <w:r>
              <w:rPr>
                <w:b w:val="0"/>
                <w:sz w:val="17"/>
              </w:rPr>
              <w:t>0.075</w:t>
            </w:r>
          </w:p>
        </w:tc>
        <w:tc>
          <w:tcPr>
            <w:tcW w:type="dxa" w:w="1296"/>
            <w:vAlign w:val="center"/>
          </w:tcPr>
          <w:p>
            <w:pPr>
              <w:spacing w:after="0"/>
            </w:pPr>
            <w:r/>
            <w:r>
              <w:rPr>
                <w:b w:val="0"/>
                <w:sz w:val="17"/>
              </w:rPr>
              <w:t>0.058</w:t>
            </w:r>
          </w:p>
        </w:tc>
        <w:tc>
          <w:tcPr>
            <w:tcW w:type="dxa" w:w="1296"/>
            <w:vAlign w:val="center"/>
          </w:tcPr>
          <w:p>
            <w:pPr>
              <w:spacing w:after="0"/>
            </w:pPr>
            <w:r/>
            <w:r>
              <w:rPr>
                <w:b w:val="0"/>
                <w:sz w:val="17"/>
              </w:rPr>
              <w:t>-0.017</w:t>
            </w:r>
          </w:p>
        </w:tc>
        <w:tc>
          <w:tcPr>
            <w:tcW w:type="dxa" w:w="1440"/>
            <w:vAlign w:val="center"/>
          </w:tcPr>
          <w:p>
            <w:pPr>
              <w:spacing w:after="0"/>
            </w:pPr>
            <w:r/>
            <w:r>
              <w:rPr>
                <w:b w:val="0"/>
                <w:sz w:val="17"/>
              </w:rPr>
              <w:t>-22.98%</w:t>
            </w:r>
          </w:p>
        </w:tc>
      </w:tr>
      <w:tr>
        <w:tc>
          <w:tcPr>
            <w:tcW w:type="dxa" w:w="2376"/>
            <w:vAlign w:val="center"/>
          </w:tcPr>
          <w:p>
            <w:pPr>
              <w:spacing w:after="0"/>
            </w:pPr>
            <w:r/>
            <w:r>
              <w:rPr>
                <w:b w:val="0"/>
                <w:sz w:val="17"/>
              </w:rPr>
              <w:t>Visibility</w:t>
            </w:r>
          </w:p>
        </w:tc>
        <w:tc>
          <w:tcPr>
            <w:tcW w:type="dxa" w:w="1296"/>
            <w:vAlign w:val="center"/>
          </w:tcPr>
          <w:p>
            <w:pPr>
              <w:spacing w:after="0"/>
            </w:pPr>
            <w:r/>
            <w:r>
              <w:rPr>
                <w:b w:val="0"/>
                <w:sz w:val="17"/>
              </w:rPr>
              <w:t>0.509</w:t>
            </w:r>
          </w:p>
        </w:tc>
        <w:tc>
          <w:tcPr>
            <w:tcW w:type="dxa" w:w="1296"/>
            <w:vAlign w:val="center"/>
          </w:tcPr>
          <w:p>
            <w:pPr>
              <w:spacing w:after="0"/>
            </w:pPr>
            <w:r/>
            <w:r>
              <w:rPr>
                <w:b w:val="0"/>
                <w:sz w:val="17"/>
              </w:rPr>
              <w:t>0.459</w:t>
            </w:r>
          </w:p>
        </w:tc>
        <w:tc>
          <w:tcPr>
            <w:tcW w:type="dxa" w:w="1296"/>
            <w:vAlign w:val="center"/>
          </w:tcPr>
          <w:p>
            <w:pPr>
              <w:spacing w:after="0"/>
            </w:pPr>
            <w:r/>
            <w:r>
              <w:rPr>
                <w:b w:val="0"/>
                <w:sz w:val="17"/>
              </w:rPr>
              <w:t>-0.049</w:t>
            </w:r>
          </w:p>
        </w:tc>
        <w:tc>
          <w:tcPr>
            <w:tcW w:type="dxa" w:w="1440"/>
            <w:vAlign w:val="center"/>
          </w:tcPr>
          <w:p>
            <w:pPr>
              <w:spacing w:after="0"/>
            </w:pPr>
            <w:r/>
            <w:r>
              <w:rPr>
                <w:b w:val="0"/>
                <w:sz w:val="17"/>
              </w:rPr>
              <w:t>-9.72%</w:t>
            </w:r>
          </w:p>
        </w:tc>
      </w:tr>
      <w:tr>
        <w:tc>
          <w:tcPr>
            <w:tcW w:type="dxa" w:w="2376"/>
            <w:vAlign w:val="center"/>
          </w:tcPr>
          <w:p>
            <w:pPr>
              <w:spacing w:after="0"/>
            </w:pPr>
            <w:r/>
            <w:r>
              <w:rPr>
                <w:b w:val="0"/>
                <w:sz w:val="17"/>
              </w:rPr>
              <w:t>Diameter proxy (mm)</w:t>
            </w:r>
          </w:p>
        </w:tc>
        <w:tc>
          <w:tcPr>
            <w:tcW w:type="dxa" w:w="1296"/>
            <w:vAlign w:val="center"/>
          </w:tcPr>
          <w:p>
            <w:pPr>
              <w:spacing w:after="0"/>
            </w:pPr>
            <w:r/>
            <w:r>
              <w:rPr>
                <w:b w:val="0"/>
                <w:sz w:val="17"/>
              </w:rPr>
              <w:t>151.86</w:t>
            </w:r>
          </w:p>
        </w:tc>
        <w:tc>
          <w:tcPr>
            <w:tcW w:type="dxa" w:w="1296"/>
            <w:vAlign w:val="center"/>
          </w:tcPr>
          <w:p>
            <w:pPr>
              <w:spacing w:after="0"/>
            </w:pPr>
            <w:r/>
            <w:r>
              <w:rPr>
                <w:b w:val="0"/>
                <w:sz w:val="17"/>
              </w:rPr>
              <w:t>211.35</w:t>
            </w:r>
          </w:p>
        </w:tc>
        <w:tc>
          <w:tcPr>
            <w:tcW w:type="dxa" w:w="1296"/>
            <w:vAlign w:val="center"/>
          </w:tcPr>
          <w:p>
            <w:pPr>
              <w:spacing w:after="0"/>
            </w:pPr>
            <w:r/>
            <w:r>
              <w:rPr>
                <w:b w:val="0"/>
                <w:sz w:val="17"/>
              </w:rPr>
              <w:t>59.49</w:t>
            </w:r>
          </w:p>
        </w:tc>
        <w:tc>
          <w:tcPr>
            <w:tcW w:type="dxa" w:w="1440"/>
            <w:vAlign w:val="center"/>
          </w:tcPr>
          <w:p>
            <w:pPr>
              <w:spacing w:after="0"/>
            </w:pPr>
            <w:r/>
            <w:r>
              <w:rPr>
                <w:b w:val="0"/>
                <w:sz w:val="17"/>
              </w:rPr>
              <w:t>+39.17%</w:t>
            </w:r>
          </w:p>
        </w:tc>
      </w:tr>
      <w:tr>
        <w:tc>
          <w:tcPr>
            <w:tcW w:type="dxa" w:w="2376"/>
            <w:vAlign w:val="center"/>
          </w:tcPr>
          <w:p>
            <w:pPr>
              <w:spacing w:after="0"/>
            </w:pPr>
            <w:r/>
            <w:r>
              <w:rPr>
                <w:b w:val="0"/>
                <w:sz w:val="17"/>
              </w:rPr>
              <w:t>Volume proxy (10^3 mm3)</w:t>
            </w:r>
          </w:p>
        </w:tc>
        <w:tc>
          <w:tcPr>
            <w:tcW w:type="dxa" w:w="1296"/>
            <w:vAlign w:val="center"/>
          </w:tcPr>
          <w:p>
            <w:pPr>
              <w:spacing w:after="0"/>
            </w:pPr>
            <w:r/>
            <w:r>
              <w:rPr>
                <w:b w:val="0"/>
                <w:sz w:val="17"/>
              </w:rPr>
              <w:t>10726.1</w:t>
            </w:r>
          </w:p>
        </w:tc>
        <w:tc>
          <w:tcPr>
            <w:tcW w:type="dxa" w:w="1296"/>
            <w:vAlign w:val="center"/>
          </w:tcPr>
          <w:p>
            <w:pPr>
              <w:spacing w:after="0"/>
            </w:pPr>
            <w:r/>
            <w:r>
              <w:rPr>
                <w:b w:val="0"/>
                <w:sz w:val="17"/>
              </w:rPr>
              <w:t>16105.3</w:t>
            </w:r>
          </w:p>
        </w:tc>
        <w:tc>
          <w:tcPr>
            <w:tcW w:type="dxa" w:w="1296"/>
            <w:vAlign w:val="center"/>
          </w:tcPr>
          <w:p>
            <w:pPr>
              <w:spacing w:after="0"/>
            </w:pPr>
            <w:r/>
            <w:r>
              <w:rPr>
                <w:b w:val="0"/>
                <w:sz w:val="17"/>
              </w:rPr>
              <w:t>5379.2</w:t>
            </w:r>
          </w:p>
        </w:tc>
        <w:tc>
          <w:tcPr>
            <w:tcW w:type="dxa" w:w="1440"/>
            <w:vAlign w:val="center"/>
          </w:tcPr>
          <w:p>
            <w:pPr>
              <w:spacing w:after="0"/>
            </w:pPr>
            <w:r/>
            <w:r>
              <w:rPr>
                <w:b w:val="0"/>
                <w:sz w:val="17"/>
              </w:rPr>
              <w:t>+50.15%</w:t>
            </w:r>
          </w:p>
        </w:tc>
      </w:tr>
    </w:tbl>
    <w:p>
      <w:pPr>
        <w:jc w:val="center"/>
      </w:pPr>
      <w:r>
        <w:drawing>
          <wp:inline xmlns:a="http://schemas.openxmlformats.org/drawingml/2006/main" xmlns:pic="http://schemas.openxmlformats.org/drawingml/2006/picture">
            <wp:extent cx="6035040" cy="3425293"/>
            <wp:docPr id="2" name="Picture 2"/>
            <wp:cNvGraphicFramePr>
              <a:graphicFrameLocks noChangeAspect="1"/>
            </wp:cNvGraphicFramePr>
            <a:graphic>
              <a:graphicData uri="http://schemas.openxmlformats.org/drawingml/2006/picture">
                <pic:pic>
                  <pic:nvPicPr>
                    <pic:cNvPr id="0" name="readiness_distribution.png"/>
                    <pic:cNvPicPr/>
                  </pic:nvPicPr>
                  <pic:blipFill>
                    <a:blip r:embed="rId12"/>
                    <a:stretch>
                      <a:fillRect/>
                    </a:stretch>
                  </pic:blipFill>
                  <pic:spPr>
                    <a:xfrm>
                      <a:off x="0" y="0"/>
                      <a:ext cx="6035040" cy="3425293"/>
                    </a:xfrm>
                    <a:prstGeom prst="rect"/>
                  </pic:spPr>
                </pic:pic>
              </a:graphicData>
            </a:graphic>
          </wp:inline>
        </w:drawing>
      </w:r>
    </w:p>
    <w:p>
      <w:pPr>
        <w:spacing w:after="120"/>
      </w:pPr>
      <w:r>
        <w:rPr>
          <w:b/>
        </w:rPr>
        <w:t xml:space="preserve">Figure 2 </w:t>
      </w:r>
      <w:r>
        <w:t>Measurement-readiness distribution across pre- and post-defoliation imagery. The histogram shows how the proposed ranking score separates candidates that are compact, visible, bright, and low in green-canopy contamination. It is used to select local reconstruction targets rather than to claim instance-level accuracy.</w:t>
      </w:r>
    </w:p>
    <w:p>
      <w:pPr>
        <w:jc w:val="center"/>
      </w:pPr>
      <w:r>
        <w:drawing>
          <wp:inline xmlns:a="http://schemas.openxmlformats.org/drawingml/2006/main" xmlns:pic="http://schemas.openxmlformats.org/drawingml/2006/picture">
            <wp:extent cx="6035040" cy="2049636"/>
            <wp:docPr id="3" name="Picture 3"/>
            <wp:cNvGraphicFramePr>
              <a:graphicFrameLocks noChangeAspect="1"/>
            </wp:cNvGraphicFramePr>
            <a:graphic>
              <a:graphicData uri="http://schemas.openxmlformats.org/drawingml/2006/picture">
                <pic:pic>
                  <pic:nvPicPr>
                    <pic:cNvPr id="0" name="proxy_trait_boxplots.png"/>
                    <pic:cNvPicPr/>
                  </pic:nvPicPr>
                  <pic:blipFill>
                    <a:blip r:embed="rId13"/>
                    <a:stretch>
                      <a:fillRect/>
                    </a:stretch>
                  </pic:blipFill>
                  <pic:spPr>
                    <a:xfrm>
                      <a:off x="0" y="0"/>
                      <a:ext cx="6035040" cy="2049636"/>
                    </a:xfrm>
                    <a:prstGeom prst="rect"/>
                  </pic:spPr>
                </pic:pic>
              </a:graphicData>
            </a:graphic>
          </wp:inline>
        </w:drawing>
      </w:r>
    </w:p>
    <w:p>
      <w:pPr>
        <w:spacing w:after="120"/>
      </w:pPr>
      <w:r>
        <w:rPr>
          <w:b/>
        </w:rPr>
        <w:t xml:space="preserve">Figure 3 </w:t>
      </w:r>
      <w:r>
        <w:t>Proxy trait distributions for visibility, diameter, and ellipsoid volume. The spread in the volume panel is expected because volume scales cubically with mask dimensions; therefore, these exploratory values require physical validation before being interpreted as true boll volume.</w:t>
      </w:r>
    </w:p>
    <w:p>
      <w:pPr>
        <w:pStyle w:val="Heading2"/>
      </w:pPr>
      <w:r>
        <w:t>6.3 Confidence intervals and phase interpretation</w:t>
      </w:r>
    </w:p>
    <w:p>
      <w:pPr>
        <w:spacing w:after="8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spacing w:before="100" w:after="40"/>
      </w:pPr>
      <w:r>
        <w:rPr>
          <w:b/>
        </w:rPr>
        <w:t xml:space="preserve">Table </w:t>
      </w:r>
      <w:r>
        <w:t>6 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b/>
                <w:sz w:val="17"/>
              </w:rPr>
              <w:t>Phase</w:t>
            </w:r>
          </w:p>
        </w:tc>
        <w:tc>
          <w:tcPr>
            <w:tcW w:type="dxa" w:w="2664"/>
            <w:shd w:fill="EDEDED"/>
            <w:vAlign w:val="center"/>
          </w:tcPr>
          <w:p>
            <w:pPr>
              <w:spacing w:after="0"/>
            </w:pPr>
            <w:r/>
            <w:r>
              <w:rPr>
                <w:b/>
                <w:sz w:val="17"/>
              </w:rPr>
              <w:t>Metric</w:t>
            </w:r>
          </w:p>
        </w:tc>
        <w:tc>
          <w:tcPr>
            <w:tcW w:type="dxa" w:w="1584"/>
            <w:shd w:fill="EDEDED"/>
            <w:vAlign w:val="center"/>
          </w:tcPr>
          <w:p>
            <w:pPr>
              <w:spacing w:after="0"/>
            </w:pPr>
            <w:r/>
            <w:r>
              <w:rPr>
                <w:b/>
                <w:sz w:val="17"/>
              </w:rPr>
              <w:t>CI low</w:t>
            </w:r>
          </w:p>
        </w:tc>
        <w:tc>
          <w:tcPr>
            <w:tcW w:type="dxa" w:w="1584"/>
            <w:shd w:fill="EDEDED"/>
            <w:vAlign w:val="center"/>
          </w:tcPr>
          <w:p>
            <w:pPr>
              <w:spacing w:after="0"/>
            </w:pPr>
            <w:r/>
            <w:r>
              <w:rPr>
                <w:b/>
                <w:sz w:val="17"/>
              </w:rPr>
              <w:t>CI high</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0.635</w:t>
            </w:r>
          </w:p>
        </w:tc>
        <w:tc>
          <w:tcPr>
            <w:tcW w:type="dxa" w:w="1584"/>
            <w:vAlign w:val="center"/>
          </w:tcPr>
          <w:p>
            <w:pPr>
              <w:spacing w:after="0"/>
            </w:pPr>
            <w:r/>
            <w:r>
              <w:rPr>
                <w:b w:val="0"/>
                <w:sz w:val="17"/>
              </w:rPr>
              <w:t>0.636</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0.458</w:t>
            </w:r>
          </w:p>
        </w:tc>
        <w:tc>
          <w:tcPr>
            <w:tcW w:type="dxa" w:w="1584"/>
            <w:vAlign w:val="center"/>
          </w:tcPr>
          <w:p>
            <w:pPr>
              <w:spacing w:after="0"/>
            </w:pPr>
            <w:r/>
            <w:r>
              <w:rPr>
                <w:b w:val="0"/>
                <w:sz w:val="17"/>
              </w:rPr>
              <w:t>0.461</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208.22</w:t>
            </w:r>
          </w:p>
        </w:tc>
        <w:tc>
          <w:tcPr>
            <w:tcW w:type="dxa" w:w="1584"/>
            <w:vAlign w:val="center"/>
          </w:tcPr>
          <w:p>
            <w:pPr>
              <w:spacing w:after="0"/>
            </w:pPr>
            <w:r/>
            <w:r>
              <w:rPr>
                <w:b w:val="0"/>
                <w:sz w:val="17"/>
              </w:rPr>
              <w:t>214.48</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10198.1</w:t>
            </w:r>
          </w:p>
        </w:tc>
        <w:tc>
          <w:tcPr>
            <w:tcW w:type="dxa" w:w="1584"/>
            <w:vAlign w:val="center"/>
          </w:tcPr>
          <w:p>
            <w:pPr>
              <w:spacing w:after="0"/>
            </w:pPr>
            <w:r/>
            <w:r>
              <w:rPr>
                <w:b w:val="0"/>
                <w:sz w:val="17"/>
              </w:rPr>
              <w:t>22012.5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0.583</w:t>
            </w:r>
          </w:p>
        </w:tc>
        <w:tc>
          <w:tcPr>
            <w:tcW w:type="dxa" w:w="1584"/>
            <w:vAlign w:val="center"/>
          </w:tcPr>
          <w:p>
            <w:pPr>
              <w:spacing w:after="0"/>
            </w:pPr>
            <w:r/>
            <w:r>
              <w:rPr>
                <w:b w:val="0"/>
                <w:sz w:val="17"/>
              </w:rPr>
              <w:t>0.585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0.507</w:t>
            </w:r>
          </w:p>
        </w:tc>
        <w:tc>
          <w:tcPr>
            <w:tcW w:type="dxa" w:w="1584"/>
            <w:vAlign w:val="center"/>
          </w:tcPr>
          <w:p>
            <w:pPr>
              <w:spacing w:after="0"/>
            </w:pPr>
            <w:r/>
            <w:r>
              <w:rPr>
                <w:b w:val="0"/>
                <w:sz w:val="17"/>
              </w:rPr>
              <w:t>0.511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148.82</w:t>
            </w:r>
          </w:p>
        </w:tc>
        <w:tc>
          <w:tcPr>
            <w:tcW w:type="dxa" w:w="1584"/>
            <w:vAlign w:val="center"/>
          </w:tcPr>
          <w:p>
            <w:pPr>
              <w:spacing w:after="0"/>
            </w:pPr>
            <w:r/>
            <w:r>
              <w:rPr>
                <w:b w:val="0"/>
                <w:sz w:val="17"/>
              </w:rPr>
              <w:t>154.91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8466.4</w:t>
            </w:r>
          </w:p>
        </w:tc>
        <w:tc>
          <w:tcPr>
            <w:tcW w:type="dxa" w:w="1584"/>
            <w:vAlign w:val="center"/>
          </w:tcPr>
          <w:p>
            <w:pPr>
              <w:spacing w:after="0"/>
            </w:pPr>
            <w:r/>
            <w:r>
              <w:rPr>
                <w:b w:val="0"/>
                <w:sz w:val="17"/>
              </w:rPr>
              <w:t>12985.9</w:t>
            </w:r>
          </w:p>
        </w:tc>
      </w:tr>
    </w:tbl>
    <w:p>
      <w:pPr>
        <w:pStyle w:val="Heading2"/>
      </w:pPr>
      <w:r>
        <w:t>6.4 Ablation of measurement-readiness terms</w:t>
      </w:r>
    </w:p>
    <w:p>
      <w:pPr>
        <w:spacing w:after="8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 To respect the 15-page ICPA limit, the main manuscript reports the compact ablation table and one summary figure; the full per-image ablation outputs remain in the supplementary experiment package.</w:t>
      </w:r>
    </w:p>
    <w:p>
      <w:pPr>
        <w:spacing w:before="100" w:after="40"/>
      </w:pPr>
      <w:r>
        <w:rPr>
          <w:b/>
        </w:rPr>
        <w:t xml:space="preserve">Table </w:t>
      </w:r>
      <w:r>
        <w:t>7 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b/>
                <w:sz w:val="17"/>
              </w:rPr>
              <w:t>Variant</w:t>
            </w:r>
          </w:p>
        </w:tc>
        <w:tc>
          <w:tcPr>
            <w:tcW w:type="dxa" w:w="1440"/>
            <w:shd w:fill="EDEDED"/>
            <w:vAlign w:val="center"/>
          </w:tcPr>
          <w:p>
            <w:pPr>
              <w:spacing w:after="0"/>
            </w:pPr>
            <w:r/>
            <w:r>
              <w:rPr>
                <w:b/>
                <w:sz w:val="17"/>
              </w:rPr>
              <w:t>Mean score</w:t>
            </w:r>
          </w:p>
        </w:tc>
        <w:tc>
          <w:tcPr>
            <w:tcW w:type="dxa" w:w="1440"/>
            <w:shd w:fill="EDEDED"/>
            <w:vAlign w:val="center"/>
          </w:tcPr>
          <w:p>
            <w:pPr>
              <w:spacing w:after="0"/>
            </w:pPr>
            <w:r/>
            <w:r>
              <w:rPr>
                <w:b/>
                <w:sz w:val="17"/>
              </w:rPr>
              <w:t>Spearman</w:t>
            </w:r>
          </w:p>
        </w:tc>
        <w:tc>
          <w:tcPr>
            <w:tcW w:type="dxa" w:w="1584"/>
            <w:shd w:fill="EDEDED"/>
            <w:vAlign w:val="center"/>
          </w:tcPr>
          <w:p>
            <w:pPr>
              <w:spacing w:after="0"/>
            </w:pPr>
            <w:r/>
            <w:r>
              <w:rPr>
                <w:b/>
                <w:sz w:val="17"/>
              </w:rPr>
              <w:t>Top-5 overlap</w:t>
            </w:r>
          </w:p>
        </w:tc>
      </w:tr>
      <w:tr>
        <w:tc>
          <w:tcPr>
            <w:tcW w:type="dxa" w:w="2376"/>
            <w:vAlign w:val="center"/>
          </w:tcPr>
          <w:p>
            <w:pPr>
              <w:spacing w:after="0"/>
            </w:pPr>
            <w:r/>
            <w:r>
              <w:rPr>
                <w:b w:val="0"/>
                <w:sz w:val="17"/>
              </w:rPr>
              <w:t>full</w:t>
            </w:r>
          </w:p>
        </w:tc>
        <w:tc>
          <w:tcPr>
            <w:tcW w:type="dxa" w:w="1440"/>
            <w:vAlign w:val="center"/>
          </w:tcPr>
          <w:p>
            <w:pPr>
              <w:spacing w:after="0"/>
            </w:pPr>
            <w:r/>
            <w:r>
              <w:rPr>
                <w:b w:val="0"/>
                <w:sz w:val="17"/>
              </w:rPr>
              <w:t>0.690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minus_lint</w:t>
            </w:r>
          </w:p>
        </w:tc>
        <w:tc>
          <w:tcPr>
            <w:tcW w:type="dxa" w:w="1440"/>
            <w:vAlign w:val="center"/>
          </w:tcPr>
          <w:p>
            <w:pPr>
              <w:spacing w:after="0"/>
            </w:pPr>
            <w:r/>
            <w:r>
              <w:rPr>
                <w:b w:val="0"/>
                <w:sz w:val="17"/>
              </w:rPr>
              <w:t>0.528</w:t>
            </w:r>
          </w:p>
        </w:tc>
        <w:tc>
          <w:tcPr>
            <w:tcW w:type="dxa" w:w="1440"/>
            <w:vAlign w:val="center"/>
          </w:tcPr>
          <w:p>
            <w:pPr>
              <w:spacing w:after="0"/>
            </w:pPr>
            <w:r/>
            <w:r>
              <w:rPr>
                <w:b w:val="0"/>
                <w:sz w:val="17"/>
              </w:rPr>
              <w:t>0.901</w:t>
            </w:r>
          </w:p>
        </w:tc>
        <w:tc>
          <w:tcPr>
            <w:tcW w:type="dxa" w:w="1584"/>
            <w:vAlign w:val="center"/>
          </w:tcPr>
          <w:p>
            <w:pPr>
              <w:spacing w:after="0"/>
            </w:pPr>
            <w:r/>
            <w:r>
              <w:rPr>
                <w:b w:val="0"/>
                <w:sz w:val="17"/>
              </w:rPr>
              <w:t>0.684</w:t>
            </w:r>
          </w:p>
        </w:tc>
      </w:tr>
      <w:tr>
        <w:tc>
          <w:tcPr>
            <w:tcW w:type="dxa" w:w="2376"/>
            <w:vAlign w:val="center"/>
          </w:tcPr>
          <w:p>
            <w:pPr>
              <w:spacing w:after="0"/>
            </w:pPr>
            <w:r/>
            <w:r>
              <w:rPr>
                <w:b w:val="0"/>
                <w:sz w:val="17"/>
              </w:rPr>
              <w:t>minus_visibility</w:t>
            </w:r>
          </w:p>
        </w:tc>
        <w:tc>
          <w:tcPr>
            <w:tcW w:type="dxa" w:w="1440"/>
            <w:vAlign w:val="center"/>
          </w:tcPr>
          <w:p>
            <w:pPr>
              <w:spacing w:after="0"/>
            </w:pPr>
            <w:r/>
            <w:r>
              <w:rPr>
                <w:b w:val="0"/>
                <w:sz w:val="17"/>
              </w:rPr>
              <w:t>0.593</w:t>
            </w:r>
          </w:p>
        </w:tc>
        <w:tc>
          <w:tcPr>
            <w:tcW w:type="dxa" w:w="1440"/>
            <w:vAlign w:val="center"/>
          </w:tcPr>
          <w:p>
            <w:pPr>
              <w:spacing w:after="0"/>
            </w:pPr>
            <w:r/>
            <w:r>
              <w:rPr>
                <w:b w:val="0"/>
                <w:sz w:val="17"/>
              </w:rPr>
              <w:t>0.939</w:t>
            </w:r>
          </w:p>
        </w:tc>
        <w:tc>
          <w:tcPr>
            <w:tcW w:type="dxa" w:w="1584"/>
            <w:vAlign w:val="center"/>
          </w:tcPr>
          <w:p>
            <w:pPr>
              <w:spacing w:after="0"/>
            </w:pPr>
            <w:r/>
            <w:r>
              <w:rPr>
                <w:b w:val="0"/>
                <w:sz w:val="17"/>
              </w:rPr>
              <w:t>0.805</w:t>
            </w:r>
          </w:p>
        </w:tc>
      </w:tr>
      <w:tr>
        <w:tc>
          <w:tcPr>
            <w:tcW w:type="dxa" w:w="2376"/>
            <w:vAlign w:val="center"/>
          </w:tcPr>
          <w:p>
            <w:pPr>
              <w:spacing w:after="0"/>
            </w:pPr>
            <w:r/>
            <w:r>
              <w:rPr>
                <w:b w:val="0"/>
                <w:sz w:val="17"/>
              </w:rPr>
              <w:t>minus_brightness</w:t>
            </w:r>
          </w:p>
        </w:tc>
        <w:tc>
          <w:tcPr>
            <w:tcW w:type="dxa" w:w="1440"/>
            <w:vAlign w:val="center"/>
          </w:tcPr>
          <w:p>
            <w:pPr>
              <w:spacing w:after="0"/>
            </w:pPr>
            <w:r/>
            <w:r>
              <w:rPr>
                <w:b w:val="0"/>
                <w:sz w:val="17"/>
              </w:rPr>
              <w:t>0.600</w:t>
            </w:r>
          </w:p>
        </w:tc>
        <w:tc>
          <w:tcPr>
            <w:tcW w:type="dxa" w:w="1440"/>
            <w:vAlign w:val="center"/>
          </w:tcPr>
          <w:p>
            <w:pPr>
              <w:spacing w:after="0"/>
            </w:pPr>
            <w:r/>
            <w:r>
              <w:rPr>
                <w:b w:val="0"/>
                <w:sz w:val="17"/>
              </w:rPr>
              <w:t>0.939</w:t>
            </w:r>
          </w:p>
        </w:tc>
        <w:tc>
          <w:tcPr>
            <w:tcW w:type="dxa" w:w="1584"/>
            <w:vAlign w:val="center"/>
          </w:tcPr>
          <w:p>
            <w:pPr>
              <w:spacing w:after="0"/>
            </w:pPr>
            <w:r/>
            <w:r>
              <w:rPr>
                <w:b w:val="0"/>
                <w:sz w:val="17"/>
              </w:rPr>
              <w:t>0.791</w:t>
            </w:r>
          </w:p>
        </w:tc>
      </w:tr>
      <w:tr>
        <w:tc>
          <w:tcPr>
            <w:tcW w:type="dxa" w:w="2376"/>
            <w:vAlign w:val="center"/>
          </w:tcPr>
          <w:p>
            <w:pPr>
              <w:spacing w:after="0"/>
            </w:pPr>
            <w:r/>
            <w:r>
              <w:rPr>
                <w:b w:val="0"/>
                <w:sz w:val="17"/>
              </w:rPr>
              <w:t>minus_shape</w:t>
            </w:r>
          </w:p>
        </w:tc>
        <w:tc>
          <w:tcPr>
            <w:tcW w:type="dxa" w:w="1440"/>
            <w:vAlign w:val="center"/>
          </w:tcPr>
          <w:p>
            <w:pPr>
              <w:spacing w:after="0"/>
            </w:pPr>
            <w:r/>
            <w:r>
              <w:rPr>
                <w:b w:val="0"/>
                <w:sz w:val="17"/>
              </w:rPr>
              <w:t>0.565</w:t>
            </w:r>
          </w:p>
        </w:tc>
        <w:tc>
          <w:tcPr>
            <w:tcW w:type="dxa" w:w="1440"/>
            <w:vAlign w:val="center"/>
          </w:tcPr>
          <w:p>
            <w:pPr>
              <w:spacing w:after="0"/>
            </w:pPr>
            <w:r/>
            <w:r>
              <w:rPr>
                <w:b w:val="0"/>
                <w:sz w:val="17"/>
              </w:rPr>
              <w:t>0.950</w:t>
            </w:r>
          </w:p>
        </w:tc>
        <w:tc>
          <w:tcPr>
            <w:tcW w:type="dxa" w:w="1584"/>
            <w:vAlign w:val="center"/>
          </w:tcPr>
          <w:p>
            <w:pPr>
              <w:spacing w:after="0"/>
            </w:pPr>
            <w:r/>
            <w:r>
              <w:rPr>
                <w:b w:val="0"/>
                <w:sz w:val="17"/>
              </w:rPr>
              <w:t>0.833</w:t>
            </w:r>
          </w:p>
        </w:tc>
      </w:tr>
      <w:tr>
        <w:tc>
          <w:tcPr>
            <w:tcW w:type="dxa" w:w="2376"/>
            <w:vAlign w:val="center"/>
          </w:tcPr>
          <w:p>
            <w:pPr>
              <w:spacing w:after="0"/>
            </w:pPr>
            <w:r/>
            <w:r>
              <w:rPr>
                <w:b w:val="0"/>
                <w:sz w:val="17"/>
              </w:rPr>
              <w:t>minus_size</w:t>
            </w:r>
          </w:p>
        </w:tc>
        <w:tc>
          <w:tcPr>
            <w:tcW w:type="dxa" w:w="1440"/>
            <w:vAlign w:val="center"/>
          </w:tcPr>
          <w:p>
            <w:pPr>
              <w:spacing w:after="0"/>
            </w:pPr>
            <w:r/>
            <w:r>
              <w:rPr>
                <w:b w:val="0"/>
                <w:sz w:val="17"/>
              </w:rPr>
              <w:t>0.570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minus_green_penalty</w:t>
            </w:r>
          </w:p>
        </w:tc>
        <w:tc>
          <w:tcPr>
            <w:tcW w:type="dxa" w:w="1440"/>
            <w:vAlign w:val="center"/>
          </w:tcPr>
          <w:p>
            <w:pPr>
              <w:spacing w:after="0"/>
            </w:pPr>
            <w:r/>
            <w:r>
              <w:rPr>
                <w:b w:val="0"/>
                <w:sz w:val="17"/>
              </w:rPr>
              <w:t>0.634</w:t>
            </w:r>
          </w:p>
        </w:tc>
        <w:tc>
          <w:tcPr>
            <w:tcW w:type="dxa" w:w="1440"/>
            <w:vAlign w:val="center"/>
          </w:tcPr>
          <w:p>
            <w:pPr>
              <w:spacing w:after="0"/>
            </w:pPr>
            <w:r/>
            <w:r>
              <w:rPr>
                <w:b w:val="0"/>
                <w:sz w:val="17"/>
              </w:rPr>
              <w:t>0.995</w:t>
            </w:r>
          </w:p>
        </w:tc>
        <w:tc>
          <w:tcPr>
            <w:tcW w:type="dxa" w:w="1584"/>
            <w:vAlign w:val="center"/>
          </w:tcPr>
          <w:p>
            <w:pPr>
              <w:spacing w:after="0"/>
            </w:pPr>
            <w:r/>
            <w:r>
              <w:rPr>
                <w:b w:val="0"/>
                <w:sz w:val="17"/>
              </w:rPr>
              <w:t>0.965</w:t>
            </w:r>
          </w:p>
        </w:tc>
      </w:tr>
      <w:tr>
        <w:tc>
          <w:tcPr>
            <w:tcW w:type="dxa" w:w="2376"/>
            <w:vAlign w:val="center"/>
          </w:tcPr>
          <w:p>
            <w:pPr>
              <w:spacing w:after="0"/>
            </w:pPr>
            <w:r/>
            <w:r>
              <w:rPr>
                <w:b w:val="0"/>
                <w:sz w:val="17"/>
              </w:rPr>
              <w:t>minus_phase_bonus</w:t>
            </w:r>
          </w:p>
        </w:tc>
        <w:tc>
          <w:tcPr>
            <w:tcW w:type="dxa" w:w="1440"/>
            <w:vAlign w:val="center"/>
          </w:tcPr>
          <w:p>
            <w:pPr>
              <w:spacing w:after="0"/>
            </w:pPr>
            <w:r/>
            <w:r>
              <w:rPr>
                <w:b w:val="0"/>
                <w:sz w:val="17"/>
              </w:rPr>
              <w:t>0.650</w:t>
            </w:r>
          </w:p>
        </w:tc>
        <w:tc>
          <w:tcPr>
            <w:tcW w:type="dxa" w:w="1440"/>
            <w:vAlign w:val="center"/>
          </w:tcPr>
          <w:p>
            <w:pPr>
              <w:spacing w:after="0"/>
            </w:pPr>
            <w:r/>
            <w:r>
              <w:rPr>
                <w:b w:val="0"/>
                <w:sz w:val="17"/>
              </w:rPr>
              <w:t>0.531</w:t>
            </w:r>
          </w:p>
        </w:tc>
        <w:tc>
          <w:tcPr>
            <w:tcW w:type="dxa" w:w="1584"/>
            <w:vAlign w:val="center"/>
          </w:tcPr>
          <w:p>
            <w:pPr>
              <w:spacing w:after="0"/>
            </w:pPr>
            <w:r/>
            <w:r>
              <w:rPr>
                <w:b w:val="0"/>
                <w:sz w:val="17"/>
              </w:rPr>
              <w:t>0.516</w:t>
            </w:r>
          </w:p>
        </w:tc>
      </w:tr>
    </w:tbl>
    <w:p>
      <w:pPr>
        <w:jc w:val="center"/>
      </w:pPr>
      <w:r>
        <w:drawing>
          <wp:inline xmlns:a="http://schemas.openxmlformats.org/drawingml/2006/main" xmlns:pic="http://schemas.openxmlformats.org/drawingml/2006/picture">
            <wp:extent cx="6035040" cy="3017520"/>
            <wp:docPr id="4" name="Picture 4"/>
            <wp:cNvGraphicFramePr>
              <a:graphicFrameLocks noChangeAspect="1"/>
            </wp:cNvGraphicFramePr>
            <a:graphic>
              <a:graphicData uri="http://schemas.openxmlformats.org/drawingml/2006/picture">
                <pic:pic>
                  <pic:nvPicPr>
                    <pic:cNvPr id="0" name="readiness_ablation.png"/>
                    <pic:cNvPicPr/>
                  </pic:nvPicPr>
                  <pic:blipFill>
                    <a:blip r:embed="rId14"/>
                    <a:stretch>
                      <a:fillRect/>
                    </a:stretch>
                  </pic:blipFill>
                  <pic:spPr>
                    <a:xfrm>
                      <a:off x="0" y="0"/>
                      <a:ext cx="6035040" cy="3017520"/>
                    </a:xfrm>
                    <a:prstGeom prst="rect"/>
                  </pic:spPr>
                </pic:pic>
              </a:graphicData>
            </a:graphic>
          </wp:inline>
        </w:drawing>
      </w:r>
    </w:p>
    <w:p>
      <w:pPr>
        <w:spacing w:after="120"/>
      </w:pPr>
      <w:r>
        <w:rPr>
          <w:b/>
        </w:rPr>
        <w:t xml:space="preserve">Figure 4 </w:t>
      </w:r>
      <w:r>
        <w:t>Ablation of the measurement-readiness score. Removing lint fraction or visibility most strongly changes candidate selection, supporting the method design: the system should prioritize bolls that are not merely bright, but also compact, separable, and plausibly measurable.</w:t>
      </w:r>
    </w:p>
    <w:p>
      <w:pPr>
        <w:pStyle w:val="Heading2"/>
      </w:pPr>
      <w:r>
        <w:t>6.5 Plot-grid mapping</w:t>
      </w:r>
    </w:p>
    <w:p>
      <w:pPr>
        <w:spacing w:after="8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spacing w:before="100" w:after="40"/>
      </w:pPr>
      <w:r>
        <w:rPr>
          <w:b/>
        </w:rPr>
        <w:t xml:space="preserve">Table </w:t>
      </w:r>
      <w:r>
        <w:t>8 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b/>
                <w:sz w:val="17"/>
              </w:rPr>
              <w:t>Phase</w:t>
            </w:r>
          </w:p>
        </w:tc>
        <w:tc>
          <w:tcPr>
            <w:tcW w:type="dxa" w:w="1440"/>
            <w:shd w:fill="EDEDED"/>
            <w:vAlign w:val="center"/>
          </w:tcPr>
          <w:p>
            <w:pPr>
              <w:spacing w:after="0"/>
            </w:pPr>
            <w:r/>
            <w:r>
              <w:rPr>
                <w:b/>
                <w:sz w:val="17"/>
              </w:rPr>
              <w:t>Occupied cells</w:t>
            </w:r>
          </w:p>
        </w:tc>
        <w:tc>
          <w:tcPr>
            <w:tcW w:type="dxa" w:w="2088"/>
            <w:shd w:fill="EDEDED"/>
            <w:vAlign w:val="center"/>
          </w:tcPr>
          <w:p>
            <w:pPr>
              <w:spacing w:after="0"/>
            </w:pPr>
            <w:r/>
            <w:r>
              <w:rPr>
                <w:b/>
                <w:sz w:val="17"/>
              </w:rPr>
              <w:t>Grid definition</w:t>
            </w:r>
          </w:p>
        </w:tc>
        <w:tc>
          <w:tcPr>
            <w:tcW w:type="dxa" w:w="3456"/>
            <w:shd w:fill="EDEDED"/>
            <w:vAlign w:val="center"/>
          </w:tcPr>
          <w:p>
            <w:pPr>
              <w:spacing w:after="0"/>
            </w:pPr>
            <w:r/>
            <w:r>
              <w:rPr>
                <w:b/>
                <w:sz w:val="17"/>
              </w:rPr>
              <w:t>Reported cell traits</w:t>
            </w:r>
          </w:p>
        </w:tc>
      </w:tr>
      <w:tr>
        <w:tc>
          <w:tcPr>
            <w:tcW w:type="dxa" w:w="1007"/>
            <w:vAlign w:val="center"/>
          </w:tcPr>
          <w:p>
            <w:pPr>
              <w:spacing w:after="0"/>
            </w:pPr>
            <w:r/>
            <w:r>
              <w:rPr>
                <w:b w:val="0"/>
                <w:sz w:val="17"/>
              </w:rPr>
              <w:t>pre</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r>
        <w:tc>
          <w:tcPr>
            <w:tcW w:type="dxa" w:w="1007"/>
            <w:vAlign w:val="center"/>
          </w:tcPr>
          <w:p>
            <w:pPr>
              <w:spacing w:after="0"/>
            </w:pPr>
            <w:r/>
            <w:r>
              <w:rPr>
                <w:b w:val="0"/>
                <w:sz w:val="17"/>
              </w:rPr>
              <w:t>post</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bl>
    <w:p>
      <w:pPr>
        <w:jc w:val="center"/>
      </w:pPr>
      <w:r>
        <w:drawing>
          <wp:inline xmlns:a="http://schemas.openxmlformats.org/drawingml/2006/main" xmlns:pic="http://schemas.openxmlformats.org/drawingml/2006/picture">
            <wp:extent cx="6035040" cy="2633472"/>
            <wp:docPr id="5" name="Picture 5"/>
            <wp:cNvGraphicFramePr>
              <a:graphicFrameLocks noChangeAspect="1"/>
            </wp:cNvGraphicFramePr>
            <a:graphic>
              <a:graphicData uri="http://schemas.openxmlformats.org/drawingml/2006/picture">
                <pic:pic>
                  <pic:nvPicPr>
                    <pic:cNvPr id="0" name="plot_grid_candidate_heatmaps.png"/>
                    <pic:cNvPicPr/>
                  </pic:nvPicPr>
                  <pic:blipFill>
                    <a:blip r:embed="rId15"/>
                    <a:stretch>
                      <a:fillRect/>
                    </a:stretch>
                  </pic:blipFill>
                  <pic:spPr>
                    <a:xfrm>
                      <a:off x="0" y="0"/>
                      <a:ext cx="6035040" cy="2633472"/>
                    </a:xfrm>
                    <a:prstGeom prst="rect"/>
                  </pic:spPr>
                </pic:pic>
              </a:graphicData>
            </a:graphic>
          </wp:inline>
        </w:drawing>
      </w:r>
    </w:p>
    <w:p>
      <w:pPr>
        <w:spacing w:after="120"/>
      </w:pPr>
      <w:r>
        <w:rPr>
          <w:b/>
        </w:rPr>
        <w:t xml:space="preserve">Figure 5 </w:t>
      </w:r>
      <w:r>
        <w:t>Image-coordinate plot-grid maps for candidate density and proxy traits. The grid turns dense UAV detections into row-column summaries that can later be registered to field plots when orthomosaic coordinates and plot boundaries are available.</w:t>
      </w:r>
    </w:p>
    <w:p>
      <w:pPr>
        <w:pStyle w:val="Heading2"/>
      </w:pPr>
      <w:r>
        <w:t>6.6 Proxy volume mutation analysis</w:t>
      </w:r>
    </w:p>
    <w:p>
      <w:pPr>
        <w:spacing w:after="8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spacing w:before="100" w:after="40"/>
      </w:pPr>
      <w:r>
        <w:rPr>
          <w:b/>
        </w:rPr>
        <w:t xml:space="preserve">Table </w:t>
      </w:r>
      <w:r>
        <w:t>9 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b/>
                <w:sz w:val="17"/>
              </w:rPr>
              <w:t>Phase</w:t>
            </w:r>
          </w:p>
        </w:tc>
        <w:tc>
          <w:tcPr>
            <w:tcW w:type="dxa" w:w="1296"/>
            <w:shd w:fill="EDEDED"/>
            <w:vAlign w:val="center"/>
          </w:tcPr>
          <w:p>
            <w:pPr>
              <w:spacing w:after="0"/>
            </w:pPr>
            <w:r/>
            <w:r>
              <w:rPr>
                <w:b/>
                <w:sz w:val="17"/>
              </w:rPr>
              <w:t>Median vol.</w:t>
            </w:r>
          </w:p>
        </w:tc>
        <w:tc>
          <w:tcPr>
            <w:tcW w:type="dxa" w:w="1296"/>
            <w:shd w:fill="EDEDED"/>
            <w:vAlign w:val="center"/>
          </w:tcPr>
          <w:p>
            <w:pPr>
              <w:spacing w:after="0"/>
            </w:pPr>
            <w:r/>
            <w:r>
              <w:rPr>
                <w:b/>
                <w:sz w:val="17"/>
              </w:rPr>
              <w:t>P95 vol.</w:t>
            </w:r>
          </w:p>
        </w:tc>
        <w:tc>
          <w:tcPr>
            <w:tcW w:type="dxa" w:w="1296"/>
            <w:shd w:fill="EDEDED"/>
            <w:vAlign w:val="center"/>
          </w:tcPr>
          <w:p>
            <w:pPr>
              <w:spacing w:after="0"/>
            </w:pPr>
            <w:r/>
            <w:r>
              <w:rPr>
                <w:b/>
                <w:sz w:val="17"/>
              </w:rPr>
              <w:t>P99 vol.</w:t>
            </w:r>
          </w:p>
        </w:tc>
        <w:tc>
          <w:tcPr>
            <w:tcW w:type="dxa" w:w="1440"/>
            <w:shd w:fill="EDEDED"/>
            <w:vAlign w:val="center"/>
          </w:tcPr>
          <w:p>
            <w:pPr>
              <w:spacing w:after="0"/>
            </w:pPr>
            <w:r/>
            <w:r>
              <w:rPr>
                <w:b/>
                <w:sz w:val="17"/>
              </w:rPr>
              <w:t>Capped mean</w:t>
            </w:r>
          </w:p>
        </w:tc>
        <w:tc>
          <w:tcPr>
            <w:tcW w:type="dxa" w:w="1224"/>
            <w:shd w:fill="EDEDED"/>
            <w:vAlign w:val="center"/>
          </w:tcPr>
          <w:p>
            <w:pPr>
              <w:spacing w:after="0"/>
            </w:pPr>
            <w:r/>
            <w:r>
              <w:rPr>
                <w:b/>
                <w:sz w:val="17"/>
              </w:rPr>
              <w:t>Threshold D</w:t>
            </w:r>
          </w:p>
        </w:tc>
        <w:tc>
          <w:tcPr>
            <w:tcW w:type="dxa" w:w="1512"/>
            <w:shd w:fill="EDEDED"/>
            <w:vAlign w:val="center"/>
          </w:tcPr>
          <w:p>
            <w:pPr>
              <w:spacing w:after="0"/>
            </w:pPr>
            <w:r/>
            <w:r>
              <w:rPr>
                <w:b/>
                <w:sz w:val="17"/>
              </w:rPr>
              <w:t>First mutation idx.</w:t>
            </w:r>
          </w:p>
        </w:tc>
      </w:tr>
      <w:tr>
        <w:tc>
          <w:tcPr>
            <w:tcW w:type="dxa" w:w="792"/>
            <w:vAlign w:val="center"/>
          </w:tcPr>
          <w:p>
            <w:pPr>
              <w:spacing w:after="0"/>
            </w:pPr>
            <w:r/>
            <w:r>
              <w:rPr>
                <w:b w:val="0"/>
                <w:sz w:val="17"/>
              </w:rPr>
              <w:t>pre</w:t>
            </w:r>
          </w:p>
        </w:tc>
        <w:tc>
          <w:tcPr>
            <w:tcW w:type="dxa" w:w="1296"/>
            <w:vAlign w:val="center"/>
          </w:tcPr>
          <w:p>
            <w:pPr>
              <w:spacing w:after="0"/>
            </w:pPr>
            <w:r/>
            <w:r>
              <w:rPr>
                <w:b w:val="0"/>
                <w:sz w:val="17"/>
              </w:rPr>
              <w:t>592.6</w:t>
            </w:r>
          </w:p>
        </w:tc>
        <w:tc>
          <w:tcPr>
            <w:tcW w:type="dxa" w:w="1296"/>
            <w:vAlign w:val="center"/>
          </w:tcPr>
          <w:p>
            <w:pPr>
              <w:spacing w:after="0"/>
            </w:pPr>
            <w:r/>
            <w:r>
              <w:rPr>
                <w:b w:val="0"/>
                <w:sz w:val="17"/>
              </w:rPr>
              <w:t>29632.0</w:t>
            </w:r>
          </w:p>
        </w:tc>
        <w:tc>
          <w:tcPr>
            <w:tcW w:type="dxa" w:w="1296"/>
            <w:vAlign w:val="center"/>
          </w:tcPr>
          <w:p>
            <w:pPr>
              <w:spacing w:after="0"/>
            </w:pPr>
            <w:r/>
            <w:r>
              <w:rPr>
                <w:b w:val="0"/>
                <w:sz w:val="17"/>
              </w:rPr>
              <w:t>193723.2</w:t>
            </w:r>
          </w:p>
        </w:tc>
        <w:tc>
          <w:tcPr>
            <w:tcW w:type="dxa" w:w="1440"/>
            <w:vAlign w:val="center"/>
          </w:tcPr>
          <w:p>
            <w:pPr>
              <w:spacing w:after="0"/>
            </w:pPr>
            <w:r/>
            <w:r>
              <w:rPr>
                <w:b w:val="0"/>
                <w:sz w:val="17"/>
              </w:rPr>
              <w:t>6368.7</w:t>
            </w:r>
          </w:p>
        </w:tc>
        <w:tc>
          <w:tcPr>
            <w:tcW w:type="dxa" w:w="1224"/>
            <w:vAlign w:val="center"/>
          </w:tcPr>
          <w:p>
            <w:pPr>
              <w:spacing w:after="0"/>
            </w:pPr>
            <w:r/>
            <w:r>
              <w:rPr>
                <w:b w:val="0"/>
                <w:sz w:val="17"/>
              </w:rPr>
              <w:t>121.03</w:t>
            </w:r>
          </w:p>
        </w:tc>
        <w:tc>
          <w:tcPr>
            <w:tcW w:type="dxa" w:w="1512"/>
            <w:vAlign w:val="center"/>
          </w:tcPr>
          <w:p>
            <w:pPr>
              <w:spacing w:after="0"/>
            </w:pPr>
            <w:r/>
            <w:r>
              <w:rPr>
                <w:b w:val="0"/>
                <w:sz w:val="17"/>
              </w:rPr>
              <w:t>6481</w:t>
            </w:r>
          </w:p>
        </w:tc>
      </w:tr>
      <w:tr>
        <w:tc>
          <w:tcPr>
            <w:tcW w:type="dxa" w:w="792"/>
            <w:vAlign w:val="center"/>
          </w:tcPr>
          <w:p>
            <w:pPr>
              <w:spacing w:after="0"/>
            </w:pPr>
            <w:r/>
            <w:r>
              <w:rPr>
                <w:b w:val="0"/>
                <w:sz w:val="17"/>
              </w:rPr>
              <w:t>post</w:t>
            </w:r>
          </w:p>
        </w:tc>
        <w:tc>
          <w:tcPr>
            <w:tcW w:type="dxa" w:w="1296"/>
            <w:vAlign w:val="center"/>
          </w:tcPr>
          <w:p>
            <w:pPr>
              <w:spacing w:after="0"/>
            </w:pPr>
            <w:r/>
            <w:r>
              <w:rPr>
                <w:b w:val="0"/>
                <w:sz w:val="17"/>
              </w:rPr>
              <w:t>2222.1</w:t>
            </w:r>
          </w:p>
        </w:tc>
        <w:tc>
          <w:tcPr>
            <w:tcW w:type="dxa" w:w="1296"/>
            <w:vAlign w:val="center"/>
          </w:tcPr>
          <w:p>
            <w:pPr>
              <w:spacing w:after="0"/>
            </w:pPr>
            <w:r/>
            <w:r>
              <w:rPr>
                <w:b w:val="0"/>
                <w:sz w:val="17"/>
              </w:rPr>
              <w:t>37177.6</w:t>
            </w:r>
          </w:p>
        </w:tc>
        <w:tc>
          <w:tcPr>
            <w:tcW w:type="dxa" w:w="1296"/>
            <w:vAlign w:val="center"/>
          </w:tcPr>
          <w:p>
            <w:pPr>
              <w:spacing w:after="0"/>
            </w:pPr>
            <w:r/>
            <w:r>
              <w:rPr>
                <w:b w:val="0"/>
                <w:sz w:val="17"/>
              </w:rPr>
              <w:t>145359.8</w:t>
            </w:r>
          </w:p>
        </w:tc>
        <w:tc>
          <w:tcPr>
            <w:tcW w:type="dxa" w:w="1440"/>
            <w:vAlign w:val="center"/>
          </w:tcPr>
          <w:p>
            <w:pPr>
              <w:spacing w:after="0"/>
            </w:pPr>
            <w:r/>
            <w:r>
              <w:rPr>
                <w:b w:val="0"/>
                <w:sz w:val="17"/>
              </w:rPr>
              <w:t>8016.8</w:t>
            </w:r>
          </w:p>
        </w:tc>
        <w:tc>
          <w:tcPr>
            <w:tcW w:type="dxa" w:w="1224"/>
            <w:vAlign w:val="center"/>
          </w:tcPr>
          <w:p>
            <w:pPr>
              <w:spacing w:after="0"/>
            </w:pPr>
            <w:r/>
            <w:r>
              <w:rPr>
                <w:b w:val="0"/>
                <w:sz w:val="17"/>
              </w:rPr>
              <w:t>90.71</w:t>
            </w:r>
          </w:p>
        </w:tc>
        <w:tc>
          <w:tcPr>
            <w:tcW w:type="dxa" w:w="1512"/>
            <w:vAlign w:val="center"/>
          </w:tcPr>
          <w:p>
            <w:pPr>
              <w:spacing w:after="0"/>
            </w:pPr>
            <w:r/>
            <w:r>
              <w:rPr>
                <w:b w:val="0"/>
                <w:sz w:val="17"/>
              </w:rPr>
              <w:t>2212</w:t>
            </w:r>
          </w:p>
        </w:tc>
      </w:tr>
    </w:tbl>
    <w:p>
      <w:pPr>
        <w:jc w:val="center"/>
      </w:pPr>
      <w:r>
        <w:drawing>
          <wp:inline xmlns:a="http://schemas.openxmlformats.org/drawingml/2006/main" xmlns:pic="http://schemas.openxmlformats.org/drawingml/2006/picture">
            <wp:extent cx="6035040" cy="4526280"/>
            <wp:docPr id="6" name="Picture 6"/>
            <wp:cNvGraphicFramePr>
              <a:graphicFrameLocks noChangeAspect="1"/>
            </wp:cNvGraphicFramePr>
            <a:graphic>
              <a:graphicData uri="http://schemas.openxmlformats.org/drawingml/2006/picture">
                <pic:pic>
                  <pic:nvPicPr>
                    <pic:cNvPr id="0" name="volume_mutation_proxy.png"/>
                    <pic:cNvPicPr/>
                  </pic:nvPicPr>
                  <pic:blipFill>
                    <a:blip r:embed="rId16"/>
                    <a:stretch>
                      <a:fillRect/>
                    </a:stretch>
                  </pic:blipFill>
                  <pic:spPr>
                    <a:xfrm>
                      <a:off x="0" y="0"/>
                      <a:ext cx="6035040" cy="4526280"/>
                    </a:xfrm>
                    <a:prstGeom prst="rect"/>
                  </pic:spPr>
                </pic:pic>
              </a:graphicData>
            </a:graphic>
          </wp:inline>
        </w:drawing>
      </w:r>
    </w:p>
    <w:p>
      <w:pPr>
        <w:spacing w:after="120"/>
      </w:pPr>
      <w:r>
        <w:rPr>
          <w:b/>
        </w:rPr>
        <w:t xml:space="preserve">Figure 6 </w:t>
      </w:r>
      <w:r>
        <w:t>Sorted proxy-volume curves and first mutation positions after p99 capping. This diagnostic follows the logic of cotton point-cloud volume studies: unusually large jumps often indicate merged or adherent boll regions that should be inspected before they enter yield-related analysis.</w:t>
      </w:r>
    </w:p>
    <w:p>
      <w:pPr>
        <w:pStyle w:val="Heading2"/>
      </w:pPr>
      <w:r>
        <w:t>6.7 Local 2.5D target selection</w:t>
      </w:r>
    </w:p>
    <w:p>
      <w:pPr>
        <w:spacing w:after="8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spacing w:before="100" w:after="40"/>
      </w:pPr>
      <w:r>
        <w:rPr>
          <w:b/>
        </w:rPr>
        <w:t xml:space="preserve">Table </w:t>
      </w:r>
      <w:r>
        <w:t>10 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b/>
                <w:sz w:val="17"/>
              </w:rPr>
              <w:t>Local rank</w:t>
            </w:r>
          </w:p>
        </w:tc>
        <w:tc>
          <w:tcPr>
            <w:tcW w:type="dxa" w:w="792"/>
            <w:shd w:fill="EDEDED"/>
            <w:vAlign w:val="center"/>
          </w:tcPr>
          <w:p>
            <w:pPr>
              <w:spacing w:after="0"/>
            </w:pPr>
            <w:r/>
            <w:r>
              <w:rPr>
                <w:b/>
                <w:sz w:val="17"/>
              </w:rPr>
              <w:t>Phase</w:t>
            </w:r>
          </w:p>
        </w:tc>
        <w:tc>
          <w:tcPr>
            <w:tcW w:type="dxa" w:w="1080"/>
            <w:shd w:fill="EDEDED"/>
            <w:vAlign w:val="center"/>
          </w:tcPr>
          <w:p>
            <w:pPr>
              <w:spacing w:after="0"/>
            </w:pPr>
            <w:r/>
            <w:r>
              <w:rPr>
                <w:b/>
                <w:sz w:val="17"/>
              </w:rPr>
              <w:t>Candidate</w:t>
            </w:r>
          </w:p>
        </w:tc>
        <w:tc>
          <w:tcPr>
            <w:tcW w:type="dxa" w:w="1296"/>
            <w:shd w:fill="EDEDED"/>
            <w:vAlign w:val="center"/>
          </w:tcPr>
          <w:p>
            <w:pPr>
              <w:spacing w:after="0"/>
            </w:pPr>
            <w:r/>
            <w:r>
              <w:rPr>
                <w:b/>
                <w:sz w:val="17"/>
              </w:rPr>
              <w:t>Ready score</w:t>
            </w:r>
          </w:p>
        </w:tc>
        <w:tc>
          <w:tcPr>
            <w:tcW w:type="dxa" w:w="1224"/>
            <w:shd w:fill="EDEDED"/>
            <w:vAlign w:val="center"/>
          </w:tcPr>
          <w:p>
            <w:pPr>
              <w:spacing w:after="0"/>
            </w:pPr>
            <w:r/>
            <w:r>
              <w:rPr>
                <w:b/>
                <w:sz w:val="17"/>
              </w:rPr>
              <w:t>Height mean</w:t>
            </w:r>
          </w:p>
        </w:tc>
        <w:tc>
          <w:tcPr>
            <w:tcW w:type="dxa" w:w="1080"/>
            <w:shd w:fill="EDEDED"/>
            <w:vAlign w:val="center"/>
          </w:tcPr>
          <w:p>
            <w:pPr>
              <w:spacing w:after="0"/>
            </w:pPr>
            <w:r/>
            <w:r>
              <w:rPr>
                <w:b/>
                <w:sz w:val="17"/>
              </w:rPr>
              <w:t>Height SD</w:t>
            </w:r>
          </w:p>
        </w:tc>
        <w:tc>
          <w:tcPr>
            <w:tcW w:type="dxa" w:w="1080"/>
            <w:shd w:fill="EDEDED"/>
            <w:vAlign w:val="center"/>
          </w:tcPr>
          <w:p>
            <w:pPr>
              <w:spacing w:after="0"/>
            </w:pPr>
            <w:r/>
            <w:r>
              <w:rPr>
                <w:b/>
                <w:sz w:val="17"/>
              </w:rPr>
              <w:t>Lint mean</w:t>
            </w:r>
          </w:p>
        </w:tc>
      </w:tr>
      <w:tr>
        <w:tc>
          <w:tcPr>
            <w:tcW w:type="dxa" w:w="1152"/>
            <w:vAlign w:val="center"/>
          </w:tcPr>
          <w:p>
            <w:pPr>
              <w:spacing w:after="0"/>
            </w:pPr>
            <w:r/>
            <w:r>
              <w:rPr>
                <w:b w:val="0"/>
                <w:sz w:val="17"/>
              </w:rPr>
              <w:t>1</w:t>
            </w:r>
          </w:p>
        </w:tc>
        <w:tc>
          <w:tcPr>
            <w:tcW w:type="dxa" w:w="792"/>
            <w:vAlign w:val="center"/>
          </w:tcPr>
          <w:p>
            <w:pPr>
              <w:spacing w:after="0"/>
            </w:pPr>
            <w:r/>
            <w:r>
              <w:rPr>
                <w:b w:val="0"/>
                <w:sz w:val="17"/>
              </w:rPr>
              <w:t>post</w:t>
            </w:r>
          </w:p>
        </w:tc>
        <w:tc>
          <w:tcPr>
            <w:tcW w:type="dxa" w:w="1080"/>
            <w:vAlign w:val="center"/>
          </w:tcPr>
          <w:p>
            <w:pPr>
              <w:spacing w:after="0"/>
            </w:pPr>
            <w:r/>
            <w:r>
              <w:rPr>
                <w:b w:val="0"/>
                <w:sz w:val="17"/>
              </w:rPr>
              <w:t>333</w:t>
            </w:r>
          </w:p>
        </w:tc>
        <w:tc>
          <w:tcPr>
            <w:tcW w:type="dxa" w:w="1296"/>
            <w:vAlign w:val="center"/>
          </w:tcPr>
          <w:p>
            <w:pPr>
              <w:spacing w:after="0"/>
            </w:pPr>
            <w:r/>
            <w:r>
              <w:rPr>
                <w:b w:val="0"/>
                <w:sz w:val="17"/>
              </w:rPr>
              <w:t>0.8421</w:t>
            </w:r>
          </w:p>
        </w:tc>
        <w:tc>
          <w:tcPr>
            <w:tcW w:type="dxa" w:w="1224"/>
            <w:vAlign w:val="center"/>
          </w:tcPr>
          <w:p>
            <w:pPr>
              <w:spacing w:after="0"/>
            </w:pPr>
            <w:r/>
            <w:r>
              <w:rPr>
                <w:b w:val="0"/>
                <w:sz w:val="17"/>
              </w:rPr>
              <w:t>0.2204</w:t>
            </w:r>
          </w:p>
        </w:tc>
        <w:tc>
          <w:tcPr>
            <w:tcW w:type="dxa" w:w="1080"/>
            <w:vAlign w:val="center"/>
          </w:tcPr>
          <w:p>
            <w:pPr>
              <w:spacing w:after="0"/>
            </w:pPr>
            <w:r/>
            <w:r>
              <w:rPr>
                <w:b w:val="0"/>
                <w:sz w:val="17"/>
              </w:rPr>
              <w:t>0.2711</w:t>
            </w:r>
          </w:p>
        </w:tc>
        <w:tc>
          <w:tcPr>
            <w:tcW w:type="dxa" w:w="1080"/>
            <w:vAlign w:val="center"/>
          </w:tcPr>
          <w:p>
            <w:pPr>
              <w:spacing w:after="0"/>
            </w:pPr>
            <w:r/>
            <w:r>
              <w:rPr>
                <w:b w:val="0"/>
                <w:sz w:val="17"/>
              </w:rPr>
              <w:t>0.1461</w:t>
            </w:r>
          </w:p>
        </w:tc>
      </w:tr>
      <w:tr>
        <w:tc>
          <w:tcPr>
            <w:tcW w:type="dxa" w:w="1152"/>
            <w:vAlign w:val="center"/>
          </w:tcPr>
          <w:p>
            <w:pPr>
              <w:spacing w:after="0"/>
            </w:pPr>
            <w:r/>
            <w:r>
              <w:rPr>
                <w:b w:val="0"/>
                <w:sz w:val="17"/>
              </w:rPr>
              <w:t>2</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0.8373</w:t>
            </w:r>
          </w:p>
        </w:tc>
        <w:tc>
          <w:tcPr>
            <w:tcW w:type="dxa" w:w="1224"/>
            <w:vAlign w:val="center"/>
          </w:tcPr>
          <w:p>
            <w:pPr>
              <w:spacing w:after="0"/>
            </w:pPr>
            <w:r/>
            <w:r>
              <w:rPr>
                <w:b w:val="0"/>
                <w:sz w:val="17"/>
              </w:rPr>
              <w:t>0.2432</w:t>
            </w:r>
          </w:p>
        </w:tc>
        <w:tc>
          <w:tcPr>
            <w:tcW w:type="dxa" w:w="1080"/>
            <w:vAlign w:val="center"/>
          </w:tcPr>
          <w:p>
            <w:pPr>
              <w:spacing w:after="0"/>
            </w:pPr>
            <w:r/>
            <w:r>
              <w:rPr>
                <w:b w:val="0"/>
                <w:sz w:val="17"/>
              </w:rPr>
              <w:t>0.2567</w:t>
            </w:r>
          </w:p>
        </w:tc>
        <w:tc>
          <w:tcPr>
            <w:tcW w:type="dxa" w:w="1080"/>
            <w:vAlign w:val="center"/>
          </w:tcPr>
          <w:p>
            <w:pPr>
              <w:spacing w:after="0"/>
            </w:pPr>
            <w:r/>
            <w:r>
              <w:rPr>
                <w:b w:val="0"/>
                <w:sz w:val="17"/>
              </w:rPr>
              <w:t>0.1435</w:t>
            </w:r>
          </w:p>
        </w:tc>
      </w:tr>
      <w:tr>
        <w:tc>
          <w:tcPr>
            <w:tcW w:type="dxa" w:w="1152"/>
            <w:vAlign w:val="center"/>
          </w:tcPr>
          <w:p>
            <w:pPr>
              <w:spacing w:after="0"/>
            </w:pPr>
            <w:r/>
            <w:r>
              <w:rPr>
                <w:b w:val="0"/>
                <w:sz w:val="17"/>
              </w:rPr>
              <w:t>3</w:t>
            </w:r>
          </w:p>
        </w:tc>
        <w:tc>
          <w:tcPr>
            <w:tcW w:type="dxa" w:w="792"/>
            <w:vAlign w:val="center"/>
          </w:tcPr>
          <w:p>
            <w:pPr>
              <w:spacing w:after="0"/>
            </w:pPr>
            <w:r/>
            <w:r>
              <w:rPr>
                <w:b w:val="0"/>
                <w:sz w:val="17"/>
              </w:rPr>
              <w:t>post</w:t>
            </w:r>
          </w:p>
        </w:tc>
        <w:tc>
          <w:tcPr>
            <w:tcW w:type="dxa" w:w="1080"/>
            <w:vAlign w:val="center"/>
          </w:tcPr>
          <w:p>
            <w:pPr>
              <w:spacing w:after="0"/>
            </w:pPr>
            <w:r/>
            <w:r>
              <w:rPr>
                <w:b w:val="0"/>
                <w:sz w:val="17"/>
              </w:rPr>
              <w:t>384</w:t>
            </w:r>
          </w:p>
        </w:tc>
        <w:tc>
          <w:tcPr>
            <w:tcW w:type="dxa" w:w="1296"/>
            <w:vAlign w:val="center"/>
          </w:tcPr>
          <w:p>
            <w:pPr>
              <w:spacing w:after="0"/>
            </w:pPr>
            <w:r/>
            <w:r>
              <w:rPr>
                <w:b w:val="0"/>
                <w:sz w:val="17"/>
              </w:rPr>
              <w:t>0.8221</w:t>
            </w:r>
          </w:p>
        </w:tc>
        <w:tc>
          <w:tcPr>
            <w:tcW w:type="dxa" w:w="1224"/>
            <w:vAlign w:val="center"/>
          </w:tcPr>
          <w:p>
            <w:pPr>
              <w:spacing w:after="0"/>
            </w:pPr>
            <w:r/>
            <w:r>
              <w:rPr>
                <w:b w:val="0"/>
                <w:sz w:val="17"/>
              </w:rPr>
              <w:t>0.2562</w:t>
            </w:r>
          </w:p>
        </w:tc>
        <w:tc>
          <w:tcPr>
            <w:tcW w:type="dxa" w:w="1080"/>
            <w:vAlign w:val="center"/>
          </w:tcPr>
          <w:p>
            <w:pPr>
              <w:spacing w:after="0"/>
            </w:pPr>
            <w:r/>
            <w:r>
              <w:rPr>
                <w:b w:val="0"/>
                <w:sz w:val="17"/>
              </w:rPr>
              <w:t>0.2646</w:t>
            </w:r>
          </w:p>
        </w:tc>
        <w:tc>
          <w:tcPr>
            <w:tcW w:type="dxa" w:w="1080"/>
            <w:vAlign w:val="center"/>
          </w:tcPr>
          <w:p>
            <w:pPr>
              <w:spacing w:after="0"/>
            </w:pPr>
            <w:r/>
            <w:r>
              <w:rPr>
                <w:b w:val="0"/>
                <w:sz w:val="17"/>
              </w:rPr>
              <w:t>0.1779</w:t>
            </w:r>
          </w:p>
        </w:tc>
      </w:tr>
      <w:tr>
        <w:tc>
          <w:tcPr>
            <w:tcW w:type="dxa" w:w="1152"/>
            <w:vAlign w:val="center"/>
          </w:tcPr>
          <w:p>
            <w:pPr>
              <w:spacing w:after="0"/>
            </w:pPr>
            <w:r/>
            <w:r>
              <w:rPr>
                <w:b w:val="0"/>
                <w:sz w:val="17"/>
              </w:rPr>
              <w:t>4</w:t>
            </w:r>
          </w:p>
        </w:tc>
        <w:tc>
          <w:tcPr>
            <w:tcW w:type="dxa" w:w="792"/>
            <w:vAlign w:val="center"/>
          </w:tcPr>
          <w:p>
            <w:pPr>
              <w:spacing w:after="0"/>
            </w:pPr>
            <w:r/>
            <w:r>
              <w:rPr>
                <w:b w:val="0"/>
                <w:sz w:val="17"/>
              </w:rPr>
              <w:t>post</w:t>
            </w:r>
          </w:p>
        </w:tc>
        <w:tc>
          <w:tcPr>
            <w:tcW w:type="dxa" w:w="1080"/>
            <w:vAlign w:val="center"/>
          </w:tcPr>
          <w:p>
            <w:pPr>
              <w:spacing w:after="0"/>
            </w:pPr>
            <w:r/>
            <w:r>
              <w:rPr>
                <w:b w:val="0"/>
                <w:sz w:val="17"/>
              </w:rPr>
              <w:t>303</w:t>
            </w:r>
          </w:p>
        </w:tc>
        <w:tc>
          <w:tcPr>
            <w:tcW w:type="dxa" w:w="1296"/>
            <w:vAlign w:val="center"/>
          </w:tcPr>
          <w:p>
            <w:pPr>
              <w:spacing w:after="0"/>
            </w:pPr>
            <w:r/>
            <w:r>
              <w:rPr>
                <w:b w:val="0"/>
                <w:sz w:val="17"/>
              </w:rPr>
              <w:t>0.8178</w:t>
            </w:r>
          </w:p>
        </w:tc>
        <w:tc>
          <w:tcPr>
            <w:tcW w:type="dxa" w:w="1224"/>
            <w:vAlign w:val="center"/>
          </w:tcPr>
          <w:p>
            <w:pPr>
              <w:spacing w:after="0"/>
            </w:pPr>
            <w:r/>
            <w:r>
              <w:rPr>
                <w:b w:val="0"/>
                <w:sz w:val="17"/>
              </w:rPr>
              <w:t>0.2620</w:t>
            </w:r>
          </w:p>
        </w:tc>
        <w:tc>
          <w:tcPr>
            <w:tcW w:type="dxa" w:w="1080"/>
            <w:vAlign w:val="center"/>
          </w:tcPr>
          <w:p>
            <w:pPr>
              <w:spacing w:after="0"/>
            </w:pPr>
            <w:r/>
            <w:r>
              <w:rPr>
                <w:b w:val="0"/>
                <w:sz w:val="17"/>
              </w:rPr>
              <w:t>0.2653</w:t>
            </w:r>
          </w:p>
        </w:tc>
        <w:tc>
          <w:tcPr>
            <w:tcW w:type="dxa" w:w="1080"/>
            <w:vAlign w:val="center"/>
          </w:tcPr>
          <w:p>
            <w:pPr>
              <w:spacing w:after="0"/>
            </w:pPr>
            <w:r/>
            <w:r>
              <w:rPr>
                <w:b w:val="0"/>
                <w:sz w:val="17"/>
              </w:rPr>
              <w:t>0.1711</w:t>
            </w:r>
          </w:p>
        </w:tc>
      </w:tr>
      <w:tr>
        <w:tc>
          <w:tcPr>
            <w:tcW w:type="dxa" w:w="1152"/>
            <w:vAlign w:val="center"/>
          </w:tcPr>
          <w:p>
            <w:pPr>
              <w:spacing w:after="0"/>
            </w:pPr>
            <w:r/>
            <w:r>
              <w:rPr>
                <w:b w:val="0"/>
                <w:sz w:val="17"/>
              </w:rPr>
              <w:t>5</w:t>
            </w:r>
          </w:p>
        </w:tc>
        <w:tc>
          <w:tcPr>
            <w:tcW w:type="dxa" w:w="792"/>
            <w:vAlign w:val="center"/>
          </w:tcPr>
          <w:p>
            <w:pPr>
              <w:spacing w:after="0"/>
            </w:pPr>
            <w:r/>
            <w:r>
              <w:rPr>
                <w:b w:val="0"/>
                <w:sz w:val="17"/>
              </w:rPr>
              <w:t>post</w:t>
            </w:r>
          </w:p>
        </w:tc>
        <w:tc>
          <w:tcPr>
            <w:tcW w:type="dxa" w:w="1080"/>
            <w:vAlign w:val="center"/>
          </w:tcPr>
          <w:p>
            <w:pPr>
              <w:spacing w:after="0"/>
            </w:pPr>
            <w:r/>
            <w:r>
              <w:rPr>
                <w:b w:val="0"/>
                <w:sz w:val="17"/>
              </w:rPr>
              <w:t>372</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0.2273</w:t>
            </w:r>
          </w:p>
        </w:tc>
        <w:tc>
          <w:tcPr>
            <w:tcW w:type="dxa" w:w="1080"/>
            <w:vAlign w:val="center"/>
          </w:tcPr>
          <w:p>
            <w:pPr>
              <w:spacing w:after="0"/>
            </w:pPr>
            <w:r/>
            <w:r>
              <w:rPr>
                <w:b w:val="0"/>
                <w:sz w:val="17"/>
              </w:rPr>
              <w:t>0.2769</w:t>
            </w:r>
          </w:p>
        </w:tc>
        <w:tc>
          <w:tcPr>
            <w:tcW w:type="dxa" w:w="1080"/>
            <w:vAlign w:val="center"/>
          </w:tcPr>
          <w:p>
            <w:pPr>
              <w:spacing w:after="0"/>
            </w:pPr>
            <w:r/>
            <w:r>
              <w:rPr>
                <w:b w:val="0"/>
                <w:sz w:val="17"/>
              </w:rPr>
              <w:t>0.1493</w:t>
            </w:r>
          </w:p>
        </w:tc>
      </w:tr>
      <w:tr>
        <w:tc>
          <w:tcPr>
            <w:tcW w:type="dxa" w:w="1152"/>
            <w:vAlign w:val="center"/>
          </w:tcPr>
          <w:p>
            <w:pPr>
              <w:spacing w:after="0"/>
            </w:pPr>
            <w:r/>
            <w:r>
              <w:rPr>
                <w:b w:val="0"/>
                <w:sz w:val="17"/>
              </w:rPr>
              <w:t>6</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0.1978</w:t>
            </w:r>
          </w:p>
        </w:tc>
        <w:tc>
          <w:tcPr>
            <w:tcW w:type="dxa" w:w="1080"/>
            <w:vAlign w:val="center"/>
          </w:tcPr>
          <w:p>
            <w:pPr>
              <w:spacing w:after="0"/>
            </w:pPr>
            <w:r/>
            <w:r>
              <w:rPr>
                <w:b w:val="0"/>
                <w:sz w:val="17"/>
              </w:rPr>
              <w:t>0.2505</w:t>
            </w:r>
          </w:p>
        </w:tc>
        <w:tc>
          <w:tcPr>
            <w:tcW w:type="dxa" w:w="1080"/>
            <w:vAlign w:val="center"/>
          </w:tcPr>
          <w:p>
            <w:pPr>
              <w:spacing w:after="0"/>
            </w:pPr>
            <w:r/>
            <w:r>
              <w:rPr>
                <w:b w:val="0"/>
                <w:sz w:val="17"/>
              </w:rPr>
              <w:t>0.1139</w:t>
            </w:r>
          </w:p>
        </w:tc>
      </w:tr>
      <w:tr>
        <w:tc>
          <w:tcPr>
            <w:tcW w:type="dxa" w:w="1152"/>
            <w:vAlign w:val="center"/>
          </w:tcPr>
          <w:p>
            <w:pPr>
              <w:spacing w:after="0"/>
            </w:pPr>
            <w:r/>
            <w:r>
              <w:rPr>
                <w:b w:val="0"/>
                <w:sz w:val="17"/>
              </w:rPr>
              <w:t>7</w:t>
            </w:r>
          </w:p>
        </w:tc>
        <w:tc>
          <w:tcPr>
            <w:tcW w:type="dxa" w:w="792"/>
            <w:vAlign w:val="center"/>
          </w:tcPr>
          <w:p>
            <w:pPr>
              <w:spacing w:after="0"/>
            </w:pPr>
            <w:r/>
            <w:r>
              <w:rPr>
                <w:b w:val="0"/>
                <w:sz w:val="17"/>
              </w:rPr>
              <w:t>post</w:t>
            </w:r>
          </w:p>
        </w:tc>
        <w:tc>
          <w:tcPr>
            <w:tcW w:type="dxa" w:w="1080"/>
            <w:vAlign w:val="center"/>
          </w:tcPr>
          <w:p>
            <w:pPr>
              <w:spacing w:after="0"/>
            </w:pPr>
            <w:r/>
            <w:r>
              <w:rPr>
                <w:b w:val="0"/>
                <w:sz w:val="17"/>
              </w:rPr>
              <w:t>300</w:t>
            </w:r>
          </w:p>
        </w:tc>
        <w:tc>
          <w:tcPr>
            <w:tcW w:type="dxa" w:w="1296"/>
            <w:vAlign w:val="center"/>
          </w:tcPr>
          <w:p>
            <w:pPr>
              <w:spacing w:after="0"/>
            </w:pPr>
            <w:r/>
            <w:r>
              <w:rPr>
                <w:b w:val="0"/>
                <w:sz w:val="17"/>
              </w:rPr>
              <w:t>0.8084</w:t>
            </w:r>
          </w:p>
        </w:tc>
        <w:tc>
          <w:tcPr>
            <w:tcW w:type="dxa" w:w="1224"/>
            <w:vAlign w:val="center"/>
          </w:tcPr>
          <w:p>
            <w:pPr>
              <w:spacing w:after="0"/>
            </w:pPr>
            <w:r/>
            <w:r>
              <w:rPr>
                <w:b w:val="0"/>
                <w:sz w:val="17"/>
              </w:rPr>
              <w:t>0.2058</w:t>
            </w:r>
          </w:p>
        </w:tc>
        <w:tc>
          <w:tcPr>
            <w:tcW w:type="dxa" w:w="1080"/>
            <w:vAlign w:val="center"/>
          </w:tcPr>
          <w:p>
            <w:pPr>
              <w:spacing w:after="0"/>
            </w:pPr>
            <w:r/>
            <w:r>
              <w:rPr>
                <w:b w:val="0"/>
                <w:sz w:val="17"/>
              </w:rPr>
              <w:t>0.2717</w:t>
            </w:r>
          </w:p>
        </w:tc>
        <w:tc>
          <w:tcPr>
            <w:tcW w:type="dxa" w:w="1080"/>
            <w:vAlign w:val="center"/>
          </w:tcPr>
          <w:p>
            <w:pPr>
              <w:spacing w:after="0"/>
            </w:pPr>
            <w:r/>
            <w:r>
              <w:rPr>
                <w:b w:val="0"/>
                <w:sz w:val="17"/>
              </w:rPr>
              <w:t>0.1333</w:t>
            </w:r>
          </w:p>
        </w:tc>
      </w:tr>
      <w:tr>
        <w:tc>
          <w:tcPr>
            <w:tcW w:type="dxa" w:w="1152"/>
            <w:vAlign w:val="center"/>
          </w:tcPr>
          <w:p>
            <w:pPr>
              <w:spacing w:after="0"/>
            </w:pPr>
            <w:r/>
            <w:r>
              <w:rPr>
                <w:b w:val="0"/>
                <w:sz w:val="17"/>
              </w:rPr>
              <w:t>8</w:t>
            </w:r>
          </w:p>
        </w:tc>
        <w:tc>
          <w:tcPr>
            <w:tcW w:type="dxa" w:w="792"/>
            <w:vAlign w:val="center"/>
          </w:tcPr>
          <w:p>
            <w:pPr>
              <w:spacing w:after="0"/>
            </w:pPr>
            <w:r/>
            <w:r>
              <w:rPr>
                <w:b w:val="0"/>
                <w:sz w:val="17"/>
              </w:rPr>
              <w:t>post</w:t>
            </w:r>
          </w:p>
        </w:tc>
        <w:tc>
          <w:tcPr>
            <w:tcW w:type="dxa" w:w="1080"/>
            <w:vAlign w:val="center"/>
          </w:tcPr>
          <w:p>
            <w:pPr>
              <w:spacing w:after="0"/>
            </w:pPr>
            <w:r/>
            <w:r>
              <w:rPr>
                <w:b w:val="0"/>
                <w:sz w:val="17"/>
              </w:rPr>
              <w:t>240</w:t>
            </w:r>
          </w:p>
        </w:tc>
        <w:tc>
          <w:tcPr>
            <w:tcW w:type="dxa" w:w="1296"/>
            <w:vAlign w:val="center"/>
          </w:tcPr>
          <w:p>
            <w:pPr>
              <w:spacing w:after="0"/>
            </w:pPr>
            <w:r/>
            <w:r>
              <w:rPr>
                <w:b w:val="0"/>
                <w:sz w:val="17"/>
              </w:rPr>
              <w:t>0.8036</w:t>
            </w:r>
          </w:p>
        </w:tc>
        <w:tc>
          <w:tcPr>
            <w:tcW w:type="dxa" w:w="1224"/>
            <w:vAlign w:val="center"/>
          </w:tcPr>
          <w:p>
            <w:pPr>
              <w:spacing w:after="0"/>
            </w:pPr>
            <w:r/>
            <w:r>
              <w:rPr>
                <w:b w:val="0"/>
                <w:sz w:val="17"/>
              </w:rPr>
              <w:t>0.2331</w:t>
            </w:r>
          </w:p>
        </w:tc>
        <w:tc>
          <w:tcPr>
            <w:tcW w:type="dxa" w:w="1080"/>
            <w:vAlign w:val="center"/>
          </w:tcPr>
          <w:p>
            <w:pPr>
              <w:spacing w:after="0"/>
            </w:pPr>
            <w:r/>
            <w:r>
              <w:rPr>
                <w:b w:val="0"/>
                <w:sz w:val="17"/>
              </w:rPr>
              <w:t>0.2732</w:t>
            </w:r>
          </w:p>
        </w:tc>
        <w:tc>
          <w:tcPr>
            <w:tcW w:type="dxa" w:w="1080"/>
            <w:vAlign w:val="center"/>
          </w:tcPr>
          <w:p>
            <w:pPr>
              <w:spacing w:after="0"/>
            </w:pPr>
            <w:r/>
            <w:r>
              <w:rPr>
                <w:b w:val="0"/>
                <w:sz w:val="17"/>
              </w:rPr>
              <w:t>0.1504</w:t>
            </w:r>
          </w:p>
        </w:tc>
      </w:tr>
    </w:tbl>
    <w:p>
      <w:pPr>
        <w:jc w:val="center"/>
      </w:pPr>
      <w:r>
        <w:drawing>
          <wp:inline xmlns:a="http://schemas.openxmlformats.org/drawingml/2006/main" xmlns:pic="http://schemas.openxmlformats.org/drawingml/2006/picture">
            <wp:extent cx="6035040" cy="3727525"/>
            <wp:docPr id="7" name="Picture 7"/>
            <wp:cNvGraphicFramePr>
              <a:graphicFrameLocks noChangeAspect="1"/>
            </wp:cNvGraphicFramePr>
            <a:graphic>
              <a:graphicData uri="http://schemas.openxmlformats.org/drawingml/2006/picture">
                <pic:pic>
                  <pic:nvPicPr>
                    <pic:cNvPr id="0" name="local_2p5d_quality_scatter.png"/>
                    <pic:cNvPicPr/>
                  </pic:nvPicPr>
                  <pic:blipFill>
                    <a:blip r:embed="rId17"/>
                    <a:stretch>
                      <a:fillRect/>
                    </a:stretch>
                  </pic:blipFill>
                  <pic:spPr>
                    <a:xfrm>
                      <a:off x="0" y="0"/>
                      <a:ext cx="6035040" cy="3727525"/>
                    </a:xfrm>
                    <a:prstGeom prst="rect"/>
                  </pic:spPr>
                </pic:pic>
              </a:graphicData>
            </a:graphic>
          </wp:inline>
        </w:drawing>
      </w:r>
    </w:p>
    <w:p>
      <w:pPr>
        <w:spacing w:after="120"/>
      </w:pPr>
      <w:r>
        <w:rPr>
          <w:b/>
        </w:rPr>
        <w:t xml:space="preserve">Figure 7 </w:t>
      </w:r>
      <w:r>
        <w:t>Relationship between measurement-readiness score and local 2.5D statistics for selected candidates. High-ranked crops are not treated as final 3D geometry; they define where calibrated reconstruction, manual inspection, or multi-view follow-up should be concentrated.</w:t>
      </w:r>
    </w:p>
    <w:p>
      <w:pPr>
        <w:pStyle w:val="Heading2"/>
      </w:pPr>
      <w:r>
        <w:t>6.8 Next validation required before final accuracy claims</w:t>
      </w:r>
    </w:p>
    <w:p>
      <w:pPr>
        <w:pStyle w:val="ListBullet"/>
        <w:spacing w:after="40"/>
      </w:pPr>
      <w:r>
        <w:t>Manual count labels on a stratified subset of pre- and post-defoliation images for precision, recall, F1, MAE, and RMSE.</w:t>
      </w:r>
    </w:p>
    <w:p>
      <w:pPr>
        <w:pStyle w:val="ListBullet"/>
        <w:spacing w:after="40"/>
      </w:pPr>
      <w:r>
        <w:t>Expert or SAM-assisted masks on visible bolls for mask IoU, boundary F1, and mask-area error.</w:t>
      </w:r>
    </w:p>
    <w:p>
      <w:pPr>
        <w:pStyle w:val="ListBullet"/>
        <w:spacing w:after="40"/>
      </w:pPr>
      <w:r>
        <w:t>Physical boll diameter and length measurements, or scale-calibrated orthomosaic/GCP metadata, for trait MAE and relative volume error.</w:t>
      </w:r>
    </w:p>
    <w:p>
      <w:pPr>
        <w:pStyle w:val="ListBullet"/>
        <w:spacing w:after="40"/>
      </w:pPr>
      <w:r>
        <w:t>A calibrated SfM/MVS, DUSt3R/MASt3R/VGGT, or Gaussian Splatting pass on selected high-visibility crops for Chamfer distance, reprojection consistency, point density, and view rendering quality.</w:t>
      </w:r>
    </w:p>
    <w:p>
      <w:pPr>
        <w:pStyle w:val="ListBullet"/>
        <w:spacing w:after="40"/>
      </w:pPr>
      <w:r>
        <w:t>A separate agronomist-in-the-loop evaluation if an LLM reporting layer is included, with schema validity, expert agreement, hallucination rate, latency, and recommendation consistency.</w:t>
      </w:r>
    </w:p>
    <w:p>
      <w:pPr>
        <w:pStyle w:val="Heading1"/>
      </w:pPr>
      <w:r>
        <w:t>7 Discussion</w:t>
      </w:r>
    </w:p>
    <w:p>
      <w:pPr>
        <w:spacing w:after="80"/>
      </w:pPr>
      <w:r>
        <w:rPr>
          <w:i w:val="0"/>
        </w:rPr>
        <w:t>The current results support the central argument of the paper: defoliation changes not only the number of visible bright lint regions, but also the measurement readiness of the detected candidates. Post-defoliation imagery shows a higher mean readiness score and lower green contamination, suggesting that defoliation can be treated as a visibility intervention for organ-scale phenotyping. This is a different claim from simply reporting a pre/post count difference. It connects the agronomic treatment to the statistical quality of the measurement evidence.</w:t>
      </w:r>
    </w:p>
    <w:p>
      <w:pPr>
        <w:spacing w:after="80"/>
      </w:pPr>
      <w:r>
        <w:rPr>
          <w:i w:val="0"/>
        </w:rPr>
        <w:t>The main technical contribution is the separation between detection, mask formation, and 3D review. A conventional counting pipeline would stop after candidate boxes. Here, each box is converted into a lint mask, scored for measurement readiness, projected into a reviewable 2.5D space, and aggregated into plot-grid summaries. This design makes failure visible. Merged bolls, overly large proxy volumes, low-visibility masks, and green-contaminated candidates can be isolated before they become yield claims.</w:t>
      </w:r>
    </w:p>
    <w:p>
      <w:pPr>
        <w:spacing w:after="80"/>
      </w:pPr>
      <w:r>
        <w:rPr>
          <w:i w:val="0"/>
        </w:rPr>
        <w:t>The most important limitation is scale. A single orthomosaic or near-nadir UAV image cannot, by itself, guarantee calibrated organ-scale 3D geometry. True metric diameter and volume require ground sampling distance, camera intrinsics, ground control, multi-view pose, RGB-D sensing, or physical boll measurements. The current manuscript therefore uses proxy units and reports volume-mutation diagnostics as a quality-control tool. This conservative framing is essential because recent cotton 3D work shows that complete boll characterization improves when multi-view geometry is available (Sun et al., 2020; Xiao et al., 2024; Jiang et al., 2025).</w:t>
      </w:r>
    </w:p>
    <w:p>
      <w:pPr>
        <w:pStyle w:val="Heading1"/>
      </w:pPr>
      <w:r>
        <w:t>8 Limitations</w:t>
      </w:r>
    </w:p>
    <w:p>
      <w:pPr>
        <w:pStyle w:val="ListBullet"/>
        <w:spacing w:after="40"/>
      </w:pPr>
      <w:r>
        <w:t>The present 3D output is a proxy review space and should not be described as calibrated Gaussian Splatting, SfM/MVS, or metric 3D reconstruction until camera geometry and scale are validated.</w:t>
      </w:r>
    </w:p>
    <w:p>
      <w:pPr>
        <w:pStyle w:val="ListBullet"/>
        <w:spacing w:after="40"/>
      </w:pPr>
      <w:r>
        <w:t>The current detector can confuse cotton lint with bright soil, residue, glare, or exposed background objects; manual labels are needed for detection precision, recall, F1, MAE, and RMSE.</w:t>
      </w:r>
    </w:p>
    <w:p>
      <w:pPr>
        <w:pStyle w:val="ListBullet"/>
        <w:spacing w:after="40"/>
      </w:pPr>
      <w:r>
        <w:t>Proxy volume assumes an ellipsoid geometry and is sensitive to merged or adherent boll masks.</w:t>
      </w:r>
    </w:p>
    <w:p>
      <w:pPr>
        <w:pStyle w:val="ListBullet"/>
        <w:spacing w:after="40"/>
      </w:pPr>
      <w:r>
        <w:t>Plot-grid summaries are image-coordinate summaries, not georeferenced field maps, until orthomosaic coordinates, plot boundaries, or GCPs are added.</w:t>
      </w:r>
    </w:p>
    <w:p>
      <w:pPr>
        <w:pStyle w:val="ListBullet"/>
        <w:spacing w:after="40"/>
      </w:pPr>
      <w:r>
        <w:t>Any LLM reporting layer should be evaluated only as a structured summarization component and not as an agronomic authority without expert review.</w:t>
      </w:r>
    </w:p>
    <w:p>
      <w:pPr>
        <w:pStyle w:val="Heading1"/>
      </w:pPr>
      <w:r>
        <w:t>9 Conclusion</w:t>
      </w:r>
    </w:p>
    <w:p>
      <w:pPr>
        <w:spacing w:after="80"/>
      </w:pPr>
      <w:r>
        <w:rPr>
          <w:i w:val="0"/>
        </w:rPr>
        <w:t>This paper formulates pre- and post-defoliation cotton boll phenotyping as a measurement-readiness problem. The proposed framework combines phase-aware detection, SAM-style lint-mask extraction, proxy mask-to-3D review, plot-grid aggregation, and conservative trait reporting. The current experimental package shows that the method can audit more than 1,500 UAV frames, summarize millions of candidate detections, rank measurement-ready bolls, and identify local reconstruction targets. The next step is not to overstate the proxy geometry, but to add calibrated scale, manual labels, and physical measurements so that the same architecture can mature into validated organ-scale 3D cotton phenotyping.</w:t>
      </w:r>
    </w:p>
    <w:p>
      <w:pPr>
        <w:pStyle w:val="Heading1"/>
      </w:pPr>
      <w:r>
        <w:t>References</w:t>
      </w:r>
    </w:p>
    <w:p>
      <w:pPr>
        <w:spacing w:after="80"/>
      </w:pPr>
      <w:r>
        <w:rPr>
          <w:i w:val="0"/>
        </w:rPr>
        <w:t>Adke, S., Li, C., Rasheed, K. M., and Maier, F. W. 2022. Supervised and weakly supervised deep learning for segmentation and counting of cotton bolls using proximal imagery. Sensors 22(10):3688.</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Jiang, L., Sun, J., Chee, P. W., Li, C., and Fu, L. 2025. Cotton3DGaussians: Multiview 3D Gaussian Splatting for boll mapping and plant architecture analysis. Computers and Electronics in Agriculture 234:110293.</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Li, Y., Cao, Z., Lu, H., Xiao, Y., Zhu, Y., and Cremers, A. B. 2016. In-field cotton detection via region-based semantic image segmentation. Computers and Electronics in Agriculture 127:475-486.</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Tan, C., Sun, J., Song, H., and Li, C. 2025. A customized density map model and Segment Anything model for cotton boll number, size, and yield prediction in aerial images. Computers and Electronics in Agriculture 232:110065.</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