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jc w:val="left"/>
      </w:pPr>
      <w:r>
        <w:rPr>
          <w:rFonts w:ascii="Times New Roman" w:hAnsi="Times New Roman"/>
          <w:b/>
          <w:color w:val="000000"/>
          <w:sz w:val="36"/>
        </w:rPr>
        <w:t>CHAPTER 5</w:t>
      </w:r>
    </w:p>
    <w:p>
      <w:pPr>
        <w:spacing w:before="240" w:after="240"/>
        <w:jc w:val="left"/>
      </w:pPr>
      <w:r>
        <w:rPr>
          <w:rFonts w:ascii="Times New Roman" w:hAnsi="Times New Roman"/>
          <w:b/>
          <w:color w:val="000000"/>
          <w:sz w:val="36"/>
        </w:rPr>
        <w:t>EXPERIMENTS AND RESULTS</w:t>
      </w:r>
    </w:p>
    <w:p>
      <w:pPr>
        <w:spacing w:line="276" w:lineRule="auto" w:after="120"/>
        <w:jc w:val="both"/>
      </w:pPr>
      <w:r>
        <w:t>This chapter presents the comprehensive testing strategy, individual test cases, functional testing results, non-functional testing evaluation, and machine learning model performance metrics for the LinkSus system. Testing was performed systematically to validate the correctness, reliability, security, and response performance across all system modules, ensuring that the underlying Linear Support Vector Classifier (LinearSVC), Flask REST API, and Chrome browser extension operate cohesively.</w:t>
      </w:r>
    </w:p>
    <w:p>
      <w:pPr>
        <w:spacing w:line="276" w:lineRule="auto" w:after="120"/>
        <w:jc w:val="both"/>
      </w:pPr>
      <w:r>
        <w:t>Software testing is an essential phase of the software development life cycle, designed to check whether the actual execution of the program matches the expected behavior and system requirements. For LinkSus, robust validation is crucial, as false negatives in phishing detection could directly expose users to severe credentials theft and security compromise. The testing strategy covers unit testing of feature extraction routines, integration testing of the API endpoints, performance evaluation under simulated load, usability validation of the dashboard interface, and multi-modal testing of the QR code decoding pipeline.</w:t>
      </w:r>
    </w:p>
    <w:p>
      <w:pPr>
        <w:spacing w:before="240" w:after="120"/>
        <w:jc w:val="left"/>
      </w:pPr>
      <w:r>
        <w:rPr>
          <w:rFonts w:ascii="Times New Roman" w:hAnsi="Times New Roman"/>
          <w:b/>
          <w:color w:val="000000"/>
          <w:sz w:val="28"/>
        </w:rPr>
        <w:t>5.1 Introduction to Testing</w:t>
      </w:r>
    </w:p>
    <w:p>
      <w:pPr>
        <w:spacing w:line="276" w:lineRule="auto" w:after="120"/>
        <w:jc w:val="both"/>
      </w:pPr>
      <w:r>
        <w:t>Both functional and non-functional testing methodologies were applied to the LinkSus platform. Functional testing verified that each system feature behaves as specified in the requirements—including URL parsing, blacklist/whitelist check execution, TF-IDF sparse matrix processing, LinearSVC prediction generation, SHAP localized feature impact calculation, webcam-based QR scanning, and Chrome Extension message routing. Non-functional testing evaluated technical parameters such as API response latency, input validation robustness, error handling under system constraints, and interface usability.</w:t>
      </w:r>
    </w:p>
    <w:p>
      <w:pPr>
        <w:spacing w:before="240" w:after="120"/>
        <w:jc w:val="left"/>
      </w:pPr>
      <w:r>
        <w:rPr>
          <w:rFonts w:ascii="Times New Roman" w:hAnsi="Times New Roman"/>
          <w:b/>
          <w:color w:val="000000"/>
          <w:sz w:val="28"/>
        </w:rPr>
        <w:t>5.2 Test Cases</w:t>
      </w:r>
    </w:p>
    <w:p>
      <w:pPr>
        <w:spacing w:before="120" w:after="80"/>
        <w:jc w:val="left"/>
      </w:pPr>
      <w:r>
        <w:rPr>
          <w:rFonts w:ascii="Times New Roman" w:hAnsi="Times New Roman"/>
          <w:b/>
          <w:i/>
          <w:color w:val="000000"/>
          <w:sz w:val="24"/>
        </w:rPr>
        <w:t>Test Case: TC_01 - Application Startup and Artifact Loading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TC_01</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Application Startup and Artifact Loading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the Flask application initializes successfully, loads the three serialized ML files (model, vectorizer, scaler), and connects to the Gemini API.</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Execute command: python app.py with valid GEMINI_API_KEY set in the environment.</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Flask server starts on localhost port 5000; console outputs confirmation of successful loading of phishing_modelnew.pkl, vectorizernew.pkl, and scalernew.pkl.</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Server initialized on http://127.0.0.1:5000. Console logs verified: 'Gemini API connected successfully' and all three model artifacts loaded.</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TC_02 - Domain Whitelist Filter Testing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TC_02</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Domain Whitelist Filter Testing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requests for high-traffic legitimate domains are identified by the pre-classifier whitelist and return a safe status instantly.</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HTTP POST request to /api/check with payload {'url': 'https://accounts.google.com/signin'}</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Immediate JSON response with prediction='good', empty explanation array, and Gemini explanation text indicating standard safe classification.</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Received status 200 OK with prediction='good', explanation=[], and Gemini explanation. Total latency: 0.04 seconds.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TC_03 - Free Hosting Domain Blacklist Filter Testing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TC_03</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Free Hosting Domain Blacklist Filter Testing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suspicious free-hosting providers commonly utilized for phishing are flagged immediately by the blacklist preprocessing logic.</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HTTP POST request to /api/check with payload {'url': 'http://login-support-verification.000webhostapp.com'}</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Immediate JSON response with prediction='bad', bypassing SVC calculation, and flagging the suspicious free-host provider.</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Received status 200 OK with prediction='bad', explanation=[], and Gemini explanation flagging free hosting. Total latency: 0.05 seconds.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TC_04 - Lexical Feature Extraction Accuracy Testing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TC_04</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Lexical Feature Extraction Accuracy Testing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Validate the feature extraction module by ensuring it calculates exact counts and indicators for the 19 handcrafted features.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Pass URL string 'http://verify-bank-details.xyz/login' to the extract_features() function.</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Returns array of 19 values: URL length=37, dot=1, hyphen=2, login=1, verify=1, suspicious TLD=1, etc.</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Extracted feature vector verified via unit test. Array length of 19 returned with exact structural counts.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TC_05 - Model Phishing Prediction on Deceptive URLs</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TC_05</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Model Phishing Prediction on Deceptive URLs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Ensure that the trained LinearSVC model correctly identifies and flags realistic lookalike phishing links containing risk keywords.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HTTP POST request to /api/check with URL 'http://paypal-login-secure-verification.com'</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JSON response with prediction='bad'; explanation list contains risk factors like Lookalike Domain, Contains 'login', and Contains 'secure'.</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Received prediction='bad'. SHAP explanation returned and rendered with tags highlighting 'Lookalike Domain' (difflib SequenceMatcher matched 'paypal' ratio &gt; 0.75).</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TC_06 - QR Code Camera Scan and Decoding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TC_06</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QR Code Camera Scan and Decoding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the web dashboard camera scanner interface opens, accesses webcam stream, and decodes QR codes containing links.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Open dashboard, trigger webcam QR modal, and hold a QR code containing 'http://verify-bank-details.xyz' in front of the lens.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Webcam feed initializes, parses the visual QR matrix, extracts the URL, auto-populates the input box, and runs check.</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Camera stream loaded using html5-qrcode. Decoded URL successfully populated, modal closed, and analysis started automatically.</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TC_07 - QR Code Image File Upload Decoding</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TC_07</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QR Code Image File Upload Decoding</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Ensure the local image file reader parses and extracts URLs from uploaded QR code images.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Upload a saved QR code image (qrcode.png containing 'http://free-money-now123.com') via the file input.</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Decodes link payload from uploaded image, populates input box, and executes phishing classification.</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Image file parsed using Html5Qrcode.scanFile. Decoded URL 'http://free-money-now123.com' populated and analyzed successfully.</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TC_08 - SHAP Value Generation and Feature Explanations</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TC_08</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SHAP Value Generation and Feature Explanations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Verify that the SHAP linear explainer calculates individual feature weights for the classification.</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Analyze URL 'http://urgent-payment-confirmation.net/update' through the dashboard.</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SHAP values generated for handcrafted features; top 5 features with significant weights returned to the frontend.</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Returned JSON response with list of top features, including 'Contains Phishing Phrase' and 'Contains update', matching SHAP weights.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TC_09 - Google Gemini Explanation Text Retrieval</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TC_09</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Google Gemini Explanation Text Retrieval</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Validate that the Gemini API client summarizes SHAP values to generate a readable security description.</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Trigger analysis for a flagged URL and parse the API response.</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JSON response contains a non-empty, two-sentence text string under 'gemini_text' summarizing the risks.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Gemini response successfully retrieved: 'This URL has been flagged as unsafe because it mimics secure banking keywords and uses a typical scam word sequence.'</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120" w:after="80"/>
        <w:jc w:val="left"/>
      </w:pPr>
      <w:r>
        <w:rPr>
          <w:rFonts w:ascii="Times New Roman" w:hAnsi="Times New Roman"/>
          <w:b/>
          <w:i/>
          <w:color w:val="000000"/>
          <w:sz w:val="24"/>
        </w:rPr>
        <w:t>Test Case: TC_10 - Chrome Extension Background Check</w:t>
      </w:r>
    </w:p>
    <w:tbl>
      <w:tblPr>
        <w:tblW w:type="auto" w:w="0"/>
        <w:tblLayout w:type="fixed"/>
        <w:tblLook w:firstColumn="1" w:firstRow="1" w:lastColumn="0" w:lastRow="0" w:noHBand="0" w:noVBand="1" w:val="04A0"/>
      </w:tblPr>
      <w:tblGrid>
        <w:gridCol w:w="4680"/>
        <w:gridCol w:w="4680"/>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Field</w:t>
            </w:r>
          </w:p>
        </w:tc>
        <w:tc>
          <w:tcPr>
            <w:tcW w:type="dxa" w:w="64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Details</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ID</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TC_10</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Test Case Name</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Chrome Extension Background Check</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Objective</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Ensure the Manifest V3 Chrome extension popup retrieves and displays active tab analysis results.</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Input Data</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Navigate to a suspicious test link and click the LinkSus Chrome extension popup icon.</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Expected Result</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Popup initiates POST request to localhost API backend using the active tab URL, receives JSON payload, and updates popup UI styling.</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Actual Result</w:t>
            </w:r>
          </w:p>
        </w:tc>
        <w:tc>
          <w:tcPr>
            <w:tcW w:type="dxa" w:w="64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Extension successfully executed scan. Popup styled with amber warning indicating 'Phishing Website Detected' along with the Gemini summary.</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Status</w:t>
            </w:r>
          </w:p>
        </w:tc>
        <w:tc>
          <w:tcPr>
            <w:tcW w:type="dxa" w:w="64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Pass</w:t>
            </w:r>
          </w:p>
        </w:tc>
      </w:tr>
    </w:tbl>
    <w:p/>
    <w:p>
      <w:pPr>
        <w:spacing w:before="240" w:after="120"/>
        <w:jc w:val="left"/>
      </w:pPr>
      <w:r>
        <w:rPr>
          <w:rFonts w:ascii="Times New Roman" w:hAnsi="Times New Roman"/>
          <w:b/>
          <w:color w:val="000000"/>
          <w:sz w:val="28"/>
        </w:rPr>
        <w:t>5.3 Functional Testing Summary</w:t>
      </w:r>
    </w:p>
    <w:p>
      <w:pPr>
        <w:spacing w:line="276" w:lineRule="auto" w:after="120"/>
        <w:jc w:val="both"/>
      </w:pPr>
      <w:r>
        <w:t>Functional testing confirmed that all core modules of the LinkSus platform function according to design requirements. The data pre-processing layer, local whitelists, and free-host blacklists successfully categorized common inputs, reducing server load. The feature extraction engine consistently generated 19-dimensional arrays without null values. In terms of integration, the Chrome Extension and Flask server communicated reliably via JSON, while the SHAP and Gemini pipelines converted numeric feature weights into readable text explanations.</w:t>
      </w:r>
    </w:p>
    <w:p>
      <w:pPr>
        <w:spacing w:before="240" w:after="120"/>
        <w:jc w:val="left"/>
      </w:pPr>
      <w:r>
        <w:rPr>
          <w:rFonts w:ascii="Times New Roman" w:hAnsi="Times New Roman"/>
          <w:b/>
          <w:color w:val="000000"/>
          <w:sz w:val="28"/>
        </w:rPr>
        <w:t>5.4 Non-Functional Testing</w:t>
      </w:r>
    </w:p>
    <w:p>
      <w:pPr>
        <w:spacing w:line="276" w:lineRule="auto" w:after="120"/>
        <w:jc w:val="both"/>
      </w:pPr>
      <w:r>
        <w:t>Performance testing measured the latency of the prediction pipeline. Whitelisted and blacklisted URLs bypassed the ML model, resulting in response times under 0.05 seconds. For inputs requiring full classification, response times (including feature extraction, matrix operations, LinearSVC prediction, SHAP calculation, and Gemini text generation) averaged 1.75 seconds under normal network conditions. Usability testing across Chrome, Firefox, and Edge browsers confirmed that UI styling and layout configurations rendered correctly.</w:t>
      </w:r>
    </w:p>
    <w:p>
      <w:pPr>
        <w:spacing w:before="240" w:after="120"/>
        <w:jc w:val="left"/>
      </w:pPr>
      <w:r>
        <w:rPr>
          <w:rFonts w:ascii="Times New Roman" w:hAnsi="Times New Roman"/>
          <w:b/>
          <w:color w:val="000000"/>
          <w:sz w:val="28"/>
        </w:rPr>
        <w:t>5.5 Model Performance Metrics</w:t>
      </w:r>
    </w:p>
    <w:p>
      <w:pPr>
        <w:spacing w:line="276" w:lineRule="auto" w:after="120"/>
        <w:jc w:val="both"/>
      </w:pPr>
      <w:r>
        <w:t>The Linear Support Vector Classifier (LinearSVC) model was evaluated using standard classification metrics computed on the 20% holdout test dataset. To ensure robust evaluation, the primary metrics used to assess the performance of the LinkSus model are Precision, Recall, F1-Score, and overall accuracy. The description and significance of each metric in the context of phishing detection are summarized in Table 5.11.</w:t>
      </w:r>
    </w:p>
    <w:tbl>
      <w:tblPr>
        <w:tblW w:type="auto" w:w="0"/>
        <w:tblLayout w:type="fixed"/>
        <w:tblLook w:firstColumn="1" w:firstRow="1" w:lastColumn="0" w:lastRow="0" w:noHBand="0" w:noVBand="1" w:val="04A0"/>
      </w:tblPr>
      <w:tblGrid>
        <w:gridCol w:w="3120"/>
        <w:gridCol w:w="3120"/>
        <w:gridCol w:w="3120"/>
      </w:tblGrid>
      <w:tr>
        <w:tc>
          <w:tcPr>
            <w:tcW w:type="dxa" w:w="216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Metric</w:t>
            </w:r>
          </w:p>
        </w:tc>
        <w:tc>
          <w:tcPr>
            <w:tcW w:type="dxa" w:w="360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Description</w:t>
            </w:r>
          </w:p>
        </w:tc>
        <w:tc>
          <w:tcPr>
            <w:tcW w:type="dxa" w:w="360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Significance in Phishing Detection</w:t>
            </w:r>
          </w:p>
        </w:tc>
      </w:tr>
      <w:tr>
        <w:tc>
          <w:tcPr>
            <w:tcW w:type="dxa" w:w="216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Precision</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The proportion of predicted phishing/legitimate URLs that are actually correct (True Positives / (True Positives + False Positives)).</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High precision is critical to prevent false-positive warnings. If legitimate websites are flagged as phishing, user trust in the system drops.</w:t>
            </w:r>
          </w:p>
        </w:tc>
      </w:tr>
      <w:tr>
        <w:tc>
          <w:tcPr>
            <w:tcW w:type="dxa" w:w="216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Recall (Sensitivity)</w:t>
            </w:r>
          </w:p>
        </w:tc>
        <w:tc>
          <w:tcPr>
            <w:tcW w:type="dxa" w:w="360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The proportion of actual phishing/legitimate URLs that are correctly identified by the model (True Positives / (True Positives + False Negatives)).</w:t>
            </w:r>
          </w:p>
        </w:tc>
        <w:tc>
          <w:tcPr>
            <w:tcW w:type="dxa" w:w="360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High recall is crucial for user safety. If a phishing website is missed (False Negative), the user will visit the site and potentially compromise their credentials.</w:t>
            </w:r>
          </w:p>
        </w:tc>
      </w:tr>
      <w:tr>
        <w:tc>
          <w:tcPr>
            <w:tcW w:type="dxa" w:w="216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F1-Score</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The harmonic mean of Precision and Recall, calculated as 2 * (Precision * Recall) / (Precision + Recall).</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Provides a single, balanced metric that reflects the classifier's performance on both classes, ensuring neither precision nor recall is severely compromised.</w:t>
            </w:r>
          </w:p>
        </w:tc>
      </w:tr>
      <w:tr>
        <w:tc>
          <w:tcPr>
            <w:tcW w:type="dxa" w:w="216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Accuracy</w:t>
            </w:r>
          </w:p>
        </w:tc>
        <w:tc>
          <w:tcPr>
            <w:tcW w:type="dxa" w:w="360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The overall ratio of correctly classified URLs to the total number of analyzed URLs in the test dataset.</w:t>
            </w:r>
          </w:p>
        </w:tc>
        <w:tc>
          <w:tcPr>
            <w:tcW w:type="dxa" w:w="360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Gives a general baseline of system correctness. LinkSus achieves an overall classification accuracy of 92% on a balanced dataset of 12,007 test URLs.</w:t>
            </w:r>
          </w:p>
        </w:tc>
      </w:tr>
      <w:tr>
        <w:tc>
          <w:tcPr>
            <w:tcW w:type="dxa" w:w="216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Train-Test Split (80/20)</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Validation methodology dividing the combined feature dataset into 80% training and 20% evaluation splits.</w:t>
            </w:r>
          </w:p>
        </w:tc>
        <w:tc>
          <w:tcPr>
            <w:tcW w:type="dxa" w:w="360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Ensures out-of-sample evaluation of the model, preventing lookahead bias or data leakage and validating the classifier's performance on unseen URLs.</w:t>
            </w:r>
          </w:p>
        </w:tc>
      </w:tr>
    </w:tbl>
    <w:p/>
    <w:p>
      <w:pPr>
        <w:spacing w:line="276" w:lineRule="auto" w:after="120"/>
        <w:jc w:val="both"/>
      </w:pPr>
      <w:r>
        <w:t>The empirical performance of the model on the test dataset is detailed in Table 5.12. The classifier demonstrates a balanced detection rate across both legitimate and phishing URLs, achieving a weighted average F1-score of 92%.</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Target Label</w:t>
            </w:r>
          </w:p>
        </w:tc>
        <w:tc>
          <w:tcPr>
            <w:tcW w:type="dxa" w:w="1728"/>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Precision</w:t>
            </w:r>
          </w:p>
        </w:tc>
        <w:tc>
          <w:tcPr>
            <w:tcW w:type="dxa" w:w="1728"/>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Recall</w:t>
            </w:r>
          </w:p>
        </w:tc>
        <w:tc>
          <w:tcPr>
            <w:tcW w:type="dxa" w:w="1728"/>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F1-Score</w:t>
            </w:r>
          </w:p>
        </w:tc>
        <w:tc>
          <w:tcPr>
            <w:tcW w:type="dxa" w:w="1728"/>
            <w:shd w:val="clear" w:color="auto" w:fill="E0E0E0"/>
            <w:tcBorders>
              <w:top w:sz="4" w:val="single" w:color="A0A0A0"/>
              <w:left w:sz="4" w:val="single" w:color="A0A0A0"/>
              <w:bottom w:sz="12" w:val="single" w:color="000000"/>
              <w:right w:sz="4" w:val="single" w:color="A0A0A0"/>
            </w:tcBorders>
          </w:tcPr>
          <w:p>
            <w:pPr>
              <w:jc w:val="left"/>
            </w:pPr>
            <w:r>
              <w:rPr>
                <w:rFonts w:ascii="Times New Roman" w:hAnsi="Times New Roman"/>
                <w:b/>
                <w:sz w:val="22"/>
              </w:rPr>
              <w:t>Support</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bad (Phishing)</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0.94</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0.89</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0.91</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6,026</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good (Legitimate)</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0.90</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0.94</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5,981</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System Accuracy</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12,007</w:t>
            </w:r>
          </w:p>
        </w:tc>
      </w:tr>
      <w:tr>
        <w:tc>
          <w:tcPr>
            <w:tcW w:type="dxa" w:w="2880"/>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Macro Average</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9F9F9"/>
            <w:tcBorders>
              <w:top w:sz="4" w:val="single" w:color="E0E0E0"/>
              <w:left w:sz="4" w:val="single" w:color="E0E0E0"/>
              <w:bottom w:sz="4" w:val="single" w:color="E0E0E0"/>
              <w:right w:sz="4" w:val="single" w:color="E0E0E0"/>
            </w:tcBorders>
          </w:tcPr>
          <w:p>
            <w:pPr>
              <w:jc w:val="left"/>
            </w:pPr>
            <w:r>
              <w:rPr>
                <w:rFonts w:ascii="Times New Roman" w:hAnsi="Times New Roman"/>
                <w:sz w:val="20"/>
              </w:rPr>
              <w:t>12,007</w:t>
            </w:r>
          </w:p>
        </w:tc>
      </w:tr>
      <w:tr>
        <w:tc>
          <w:tcPr>
            <w:tcW w:type="dxa" w:w="2880"/>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Weighted Average</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0.92</w:t>
            </w:r>
          </w:p>
        </w:tc>
        <w:tc>
          <w:tcPr>
            <w:tcW w:type="dxa" w:w="1728"/>
            <w:shd w:val="clear" w:color="auto" w:fill="FFFFFF"/>
            <w:tcBorders>
              <w:top w:sz="4" w:val="single" w:color="E0E0E0"/>
              <w:left w:sz="4" w:val="single" w:color="E0E0E0"/>
              <w:bottom w:sz="4" w:val="single" w:color="E0E0E0"/>
              <w:right w:sz="4" w:val="single" w:color="E0E0E0"/>
            </w:tcBorders>
          </w:tcPr>
          <w:p>
            <w:pPr>
              <w:jc w:val="left"/>
            </w:pPr>
            <w:r>
              <w:rPr>
                <w:rFonts w:ascii="Times New Roman" w:hAnsi="Times New Roman"/>
                <w:sz w:val="20"/>
              </w:rPr>
              <w:t>12,007</w:t>
            </w:r>
          </w:p>
        </w:tc>
      </w:tr>
    </w:tbl>
    <w:p/>
    <w:p>
      <w:pPr>
        <w:spacing w:before="240" w:after="240"/>
        <w:jc w:val="left"/>
      </w:pPr>
      <w:r>
        <w:rPr>
          <w:rFonts w:ascii="Times New Roman" w:hAnsi="Times New Roman"/>
          <w:b/>
          <w:color w:val="000000"/>
          <w:sz w:val="36"/>
        </w:rPr>
        <w:t>CHAPTER 6</w:t>
      </w:r>
    </w:p>
    <w:p>
      <w:pPr>
        <w:spacing w:before="240" w:after="240"/>
        <w:jc w:val="left"/>
      </w:pPr>
      <w:r>
        <w:rPr>
          <w:rFonts w:ascii="Times New Roman" w:hAnsi="Times New Roman"/>
          <w:b/>
          <w:color w:val="000000"/>
          <w:sz w:val="36"/>
        </w:rPr>
        <w:t>DISCUSSION</w:t>
      </w:r>
    </w:p>
    <w:p>
      <w:pPr>
        <w:spacing w:line="276" w:lineRule="auto" w:after="120"/>
        <w:jc w:val="both"/>
      </w:pPr>
      <w:r>
        <w:t>This chapter discusses the architectural decisions, model evaluation, challenges faced, and how the LinkSus system compares to existing phishing detection tools.</w:t>
      </w:r>
    </w:p>
    <w:p>
      <w:pPr>
        <w:spacing w:before="240" w:after="120"/>
        <w:jc w:val="left"/>
      </w:pPr>
      <w:r>
        <w:rPr>
          <w:rFonts w:ascii="Times New Roman" w:hAnsi="Times New Roman"/>
          <w:b/>
          <w:color w:val="000000"/>
          <w:sz w:val="28"/>
        </w:rPr>
        <w:t>6.1 Analysis of System Performance</w:t>
      </w:r>
    </w:p>
    <w:p>
      <w:pPr>
        <w:spacing w:line="276" w:lineRule="auto" w:after="120"/>
        <w:jc w:val="both"/>
      </w:pPr>
      <w:r>
        <w:t>The model achieves a 92% classification accuracy. The LinearSVC algorithm is well-suited for this task, processing high-dimensional sparse text vectors efficiently and maintaining fast execution times compared to deeper neural networks.</w:t>
      </w:r>
    </w:p>
    <w:p>
      <w:pPr>
        <w:spacing w:line="276" w:lineRule="auto" w:after="120"/>
        <w:jc w:val="both"/>
      </w:pPr>
      <w:r>
        <w:t>Using class-weight balancing helped manage dataset imbalances, reducing false-positive rates on legitimate sites with long subdomains. The whitelist and blacklist filters pre-screen requests, reducing processing overhead for common domains.</w:t>
      </w:r>
    </w:p>
    <w:p>
      <w:pPr>
        <w:spacing w:before="240" w:after="120"/>
        <w:jc w:val="left"/>
      </w:pPr>
      <w:r>
        <w:rPr>
          <w:rFonts w:ascii="Times New Roman" w:hAnsi="Times New Roman"/>
          <w:b/>
          <w:color w:val="000000"/>
          <w:sz w:val="28"/>
        </w:rPr>
        <w:t>6.2 Key Findings</w:t>
      </w:r>
    </w:p>
    <w:p>
      <w:pPr>
        <w:pStyle w:val="ListBullet"/>
        <w:spacing w:after="80"/>
        <w:jc w:val="both"/>
      </w:pPr>
      <w:r>
        <w:rPr>
          <w:rFonts w:ascii="Times New Roman" w:hAnsi="Times New Roman"/>
          <w:b/>
          <w:sz w:val="24"/>
        </w:rPr>
        <w:t xml:space="preserve">Feature Engineering: </w:t>
      </w:r>
      <w:r>
        <w:rPr>
          <w:rFonts w:ascii="Times New Roman" w:hAnsi="Times New Roman"/>
          <w:sz w:val="24"/>
        </w:rPr>
        <w:t>Combining TF-IDF text features with handcrafted structural features improved the classification of lookalike domains.</w:t>
      </w:r>
    </w:p>
    <w:p>
      <w:pPr>
        <w:pStyle w:val="ListBullet"/>
        <w:spacing w:after="80"/>
        <w:jc w:val="both"/>
      </w:pPr>
      <w:r>
        <w:rPr>
          <w:rFonts w:ascii="Times New Roman" w:hAnsi="Times New Roman"/>
          <w:b/>
          <w:sz w:val="24"/>
        </w:rPr>
        <w:t xml:space="preserve">Lookalike Domain Analysis: </w:t>
      </w:r>
      <w:r>
        <w:rPr>
          <w:rFonts w:ascii="Times New Roman" w:hAnsi="Times New Roman"/>
          <w:sz w:val="24"/>
        </w:rPr>
        <w:t>Implementing SequenceMatcher ratios helped flag typosquatting domains mimicking popular brands.</w:t>
      </w:r>
    </w:p>
    <w:p>
      <w:pPr>
        <w:pStyle w:val="ListBullet"/>
        <w:spacing w:after="80"/>
        <w:jc w:val="both"/>
      </w:pPr>
      <w:r>
        <w:rPr>
          <w:rFonts w:ascii="Times New Roman" w:hAnsi="Times New Roman"/>
          <w:b/>
          <w:sz w:val="24"/>
        </w:rPr>
        <w:t xml:space="preserve">Value of Explainability: </w:t>
      </w:r>
      <w:r>
        <w:rPr>
          <w:rFonts w:ascii="Times New Roman" w:hAnsi="Times New Roman"/>
          <w:sz w:val="24"/>
        </w:rPr>
        <w:t>Combining SHAP and the Gemini API made the model's classifications more transparent by explaining the factors behind risk scores.</w:t>
      </w:r>
    </w:p>
    <w:p>
      <w:pPr>
        <w:pStyle w:val="ListBullet"/>
        <w:spacing w:after="80"/>
        <w:jc w:val="both"/>
      </w:pPr>
      <w:r>
        <w:rPr>
          <w:rFonts w:ascii="Times New Roman" w:hAnsi="Times New Roman"/>
          <w:b/>
          <w:sz w:val="24"/>
        </w:rPr>
        <w:t xml:space="preserve">Multi-Modal Inputs: </w:t>
      </w:r>
      <w:r>
        <w:rPr>
          <w:rFonts w:ascii="Times New Roman" w:hAnsi="Times New Roman"/>
          <w:sz w:val="24"/>
        </w:rPr>
        <w:t>Integrating a QR code scanner enables protection against physical-to-digital phishing vectors, such as malicious QR codes printed on posters or receipts.</w:t>
      </w:r>
    </w:p>
    <w:p>
      <w:pPr>
        <w:spacing w:before="240" w:after="120"/>
        <w:jc w:val="left"/>
      </w:pPr>
      <w:r>
        <w:rPr>
          <w:rFonts w:ascii="Times New Roman" w:hAnsi="Times New Roman"/>
          <w:b/>
          <w:color w:val="000000"/>
          <w:sz w:val="28"/>
        </w:rPr>
        <w:t>6.3 Challenges Encountered</w:t>
      </w:r>
    </w:p>
    <w:p>
      <w:pPr>
        <w:pStyle w:val="ListBullet"/>
        <w:spacing w:after="80"/>
        <w:jc w:val="both"/>
      </w:pPr>
      <w:r>
        <w:rPr>
          <w:rFonts w:ascii="Times New Roman" w:hAnsi="Times New Roman"/>
          <w:b/>
          <w:sz w:val="24"/>
        </w:rPr>
        <w:t xml:space="preserve">Subdomain Whitelisting Rules: </w:t>
      </w:r>
      <w:r>
        <w:rPr>
          <w:rFonts w:ascii="Times New Roman" w:hAnsi="Times New Roman"/>
          <w:sz w:val="24"/>
        </w:rPr>
        <w:t>Early whitelisting rules used broad matches like endswith('paypal.com'), which incorrectly classified phishing domains like security-paypal.com as safe. This was resolved by requiring exact matches or pre-appended dot notations (.paypal.com).</w:t>
      </w:r>
    </w:p>
    <w:p>
      <w:pPr>
        <w:pStyle w:val="ListBullet"/>
        <w:spacing w:after="80"/>
        <w:jc w:val="both"/>
      </w:pPr>
      <w:r>
        <w:rPr>
          <w:rFonts w:ascii="Times New Roman" w:hAnsi="Times New Roman"/>
          <w:b/>
          <w:sz w:val="24"/>
        </w:rPr>
        <w:t xml:space="preserve">Feature Scale Imbalance: </w:t>
      </w:r>
      <w:r>
        <w:rPr>
          <w:rFonts w:ascii="Times New Roman" w:hAnsi="Times New Roman"/>
          <w:sz w:val="24"/>
        </w:rPr>
        <w:t>Raw numerical features (e.g., URL lengths of 200+ characters) skewed model coefficients during training. Applying StandardScaler resolved this issue.</w:t>
      </w:r>
    </w:p>
    <w:p>
      <w:pPr>
        <w:pStyle w:val="ListBullet"/>
        <w:spacing w:after="80"/>
        <w:jc w:val="both"/>
      </w:pPr>
      <w:r>
        <w:rPr>
          <w:rFonts w:ascii="Times New Roman" w:hAnsi="Times New Roman"/>
          <w:b/>
          <w:sz w:val="24"/>
        </w:rPr>
        <w:t xml:space="preserve">API Key Lifecycle and Fallbacks: </w:t>
      </w:r>
      <w:r>
        <w:rPr>
          <w:rFonts w:ascii="Times New Roman" w:hAnsi="Times New Roman"/>
          <w:sz w:val="24"/>
        </w:rPr>
        <w:t>Latency and rate-limiting issues with the Gemini API were addressed by caching responses and providing a local SHAP explanation fallback when the API key is unavailable.</w:t>
      </w:r>
    </w:p>
    <w:p>
      <w:pPr>
        <w:pStyle w:val="ListBullet"/>
        <w:spacing w:after="80"/>
        <w:jc w:val="both"/>
      </w:pPr>
      <w:r>
        <w:rPr>
          <w:rFonts w:ascii="Times New Roman" w:hAnsi="Times New Roman"/>
          <w:b/>
          <w:sz w:val="24"/>
        </w:rPr>
        <w:t xml:space="preserve">Chrome Extension Security Policies: </w:t>
      </w:r>
      <w:r>
        <w:rPr>
          <w:rFonts w:ascii="Times New Roman" w:hAnsi="Times New Roman"/>
          <w:sz w:val="24"/>
        </w:rPr>
        <w:t>Content Security Policies (CSP) in Manifest V3 restrict inline JavaScript execution. The extension's event handlers were rewritten to use programmatic listeners in separate script files.</w:t>
      </w:r>
    </w:p>
    <w:p>
      <w:pPr>
        <w:spacing w:before="240" w:after="120"/>
        <w:jc w:val="left"/>
      </w:pPr>
      <w:r>
        <w:rPr>
          <w:rFonts w:ascii="Times New Roman" w:hAnsi="Times New Roman"/>
          <w:b/>
          <w:color w:val="000000"/>
          <w:sz w:val="28"/>
        </w:rPr>
        <w:t>6.4 Comparison with Existing Approaches</w:t>
      </w:r>
    </w:p>
    <w:p>
      <w:pPr>
        <w:spacing w:line="276" w:lineRule="auto" w:after="120"/>
        <w:jc w:val="both"/>
      </w:pPr>
      <w:r>
        <w:t>Unlike database-dependent blacklists that fail to identify zero-day phishing sites during their initial hours of operation, LinkSus generalizes to unseen links based on structural and character features. Furthermore, standard machine learning classifiers provide risk scores without context. LinkSus uses SHAP and Gemini to explain the reasoning behind its classifications, improving transparency.</w:t>
      </w:r>
    </w:p>
    <w:p>
      <w:pPr>
        <w:spacing w:before="240" w:after="240"/>
        <w:jc w:val="left"/>
      </w:pPr>
      <w:r>
        <w:rPr>
          <w:rFonts w:ascii="Times New Roman" w:hAnsi="Times New Roman"/>
          <w:b/>
          <w:color w:val="000000"/>
          <w:sz w:val="36"/>
        </w:rPr>
        <w:t>CHAPTER 7</w:t>
      </w:r>
    </w:p>
    <w:p>
      <w:pPr>
        <w:spacing w:before="240" w:after="240"/>
        <w:jc w:val="left"/>
      </w:pPr>
      <w:r>
        <w:rPr>
          <w:rFonts w:ascii="Times New Roman" w:hAnsi="Times New Roman"/>
          <w:b/>
          <w:color w:val="000000"/>
          <w:sz w:val="36"/>
        </w:rPr>
        <w:t>CONCLUSION</w:t>
      </w:r>
    </w:p>
    <w:p>
      <w:pPr>
        <w:spacing w:line="276" w:lineRule="auto" w:after="120"/>
        <w:jc w:val="both"/>
      </w:pPr>
      <w:r>
        <w:t>The LinkSus – Cloud-Based ML Phishing Detection System successfully demonstrates the integration of machine learning, explainable AI, and natural language generation for web security. By combining character-level text vectorization with handcrafted structural features, the system achieves a 92% classification accuracy.</w:t>
      </w:r>
    </w:p>
    <w:p>
      <w:pPr>
        <w:spacing w:line="276" w:lineRule="auto" w:after="120"/>
        <w:jc w:val="both"/>
      </w:pPr>
      <w:r>
        <w:t>The backend REST API handles inference requests with low latency, and the Manifest V3 Chrome extension enables real-time auditing of active tabs. Explainability tools (SHAP and Gemini) translate raw model decisions into readable explanations, helping users make informed security decisions. The addition of a webcam-based QR scanner expands the tool's utility to physical-to-digital attack vectors.</w:t>
      </w:r>
    </w:p>
    <w:p>
      <w:pPr>
        <w:spacing w:before="240" w:after="120"/>
        <w:jc w:val="left"/>
      </w:pPr>
      <w:r>
        <w:rPr>
          <w:rFonts w:ascii="Times New Roman" w:hAnsi="Times New Roman"/>
          <w:b/>
          <w:color w:val="000000"/>
          <w:sz w:val="28"/>
        </w:rPr>
        <w:t>7.1 Future Enhancements</w:t>
      </w:r>
    </w:p>
    <w:p>
      <w:pPr>
        <w:pStyle w:val="ListBullet"/>
        <w:spacing w:after="80"/>
        <w:jc w:val="both"/>
      </w:pPr>
      <w:r>
        <w:rPr>
          <w:rFonts w:ascii="Times New Roman" w:hAnsi="Times New Roman"/>
          <w:b/>
          <w:sz w:val="24"/>
        </w:rPr>
        <w:t xml:space="preserve">Deep Learning Integration: </w:t>
      </w:r>
      <w:r>
        <w:rPr>
          <w:rFonts w:ascii="Times New Roman" w:hAnsi="Times New Roman"/>
          <w:sz w:val="24"/>
        </w:rPr>
        <w:t>Deploying lightweight Transformer architectures (e.g., MobileBERT) to analyze complex URL strings.</w:t>
      </w:r>
    </w:p>
    <w:p>
      <w:pPr>
        <w:pStyle w:val="ListBullet"/>
        <w:spacing w:after="80"/>
        <w:jc w:val="both"/>
      </w:pPr>
      <w:r>
        <w:rPr>
          <w:rFonts w:ascii="Times New Roman" w:hAnsi="Times New Roman"/>
          <w:b/>
          <w:sz w:val="24"/>
        </w:rPr>
        <w:t xml:space="preserve">Dynamic Sandboxing: </w:t>
      </w:r>
      <w:r>
        <w:rPr>
          <w:rFonts w:ascii="Times New Roman" w:hAnsi="Times New Roman"/>
          <w:sz w:val="24"/>
        </w:rPr>
        <w:t>Running short, automated head-less browser scans on flagged URLs to capture screenshots and analyze redirection behaviors.</w:t>
      </w:r>
    </w:p>
    <w:p>
      <w:pPr>
        <w:pStyle w:val="ListBullet"/>
        <w:spacing w:after="80"/>
        <w:jc w:val="both"/>
      </w:pPr>
      <w:r>
        <w:rPr>
          <w:rFonts w:ascii="Times New Roman" w:hAnsi="Times New Roman"/>
          <w:b/>
          <w:sz w:val="24"/>
        </w:rPr>
        <w:t xml:space="preserve">Crowdsourced Threat Database: </w:t>
      </w:r>
      <w:r>
        <w:rPr>
          <w:rFonts w:ascii="Times New Roman" w:hAnsi="Times New Roman"/>
          <w:sz w:val="24"/>
        </w:rPr>
        <w:t>Implementing a database to log verified phishing URLs and update local blacklists dynamically.</w:t>
      </w:r>
    </w:p>
    <w:p>
      <w:pPr>
        <w:pStyle w:val="ListBullet"/>
        <w:spacing w:after="80"/>
        <w:jc w:val="both"/>
      </w:pPr>
      <w:r>
        <w:rPr>
          <w:rFonts w:ascii="Times New Roman" w:hAnsi="Times New Roman"/>
          <w:b/>
          <w:sz w:val="24"/>
        </w:rPr>
        <w:t xml:space="preserve">DNS and Certificate Inspection: </w:t>
      </w:r>
      <w:r>
        <w:rPr>
          <w:rFonts w:ascii="Times New Roman" w:hAnsi="Times New Roman"/>
          <w:sz w:val="24"/>
        </w:rPr>
        <w:t>Adding features to inspect target SSL certificates and domain registration dates during evaluation.</w:t>
      </w:r>
    </w:p>
    <w:p>
      <w:pPr>
        <w:pStyle w:val="ListBullet"/>
        <w:spacing w:after="80"/>
        <w:jc w:val="both"/>
      </w:pPr>
      <w:r>
        <w:rPr>
          <w:rFonts w:ascii="Times New Roman" w:hAnsi="Times New Roman"/>
          <w:b/>
          <w:sz w:val="24"/>
        </w:rPr>
        <w:t xml:space="preserve">Mobile Companion Application: </w:t>
      </w:r>
      <w:r>
        <w:rPr>
          <w:rFonts w:ascii="Times New Roman" w:hAnsi="Times New Roman"/>
          <w:sz w:val="24"/>
        </w:rPr>
        <w:t>Packaging the dashboard and QR scanner as a mobile application using React Native or Flutter.</w:t>
      </w:r>
    </w:p>
    <w:p>
      <w:pPr>
        <w:pStyle w:val="ListBullet"/>
        <w:spacing w:after="80"/>
        <w:jc w:val="both"/>
      </w:pPr>
      <w:r>
        <w:rPr>
          <w:rFonts w:ascii="Times New Roman" w:hAnsi="Times New Roman"/>
          <w:b/>
          <w:sz w:val="24"/>
        </w:rPr>
        <w:t xml:space="preserve">Quantile Regression Confidence Scores: </w:t>
      </w:r>
      <w:r>
        <w:rPr>
          <w:rFonts w:ascii="Times New Roman" w:hAnsi="Times New Roman"/>
          <w:sz w:val="24"/>
        </w:rPr>
        <w:t>Replacing static confidence heuristics with dynamic confidence intervals calculated during inference.</w:t>
      </w:r>
    </w:p>
    <w:p>
      <w:pPr>
        <w:spacing w:before="240" w:after="240"/>
        <w:jc w:val="left"/>
      </w:pPr>
      <w:r>
        <w:rPr>
          <w:rFonts w:ascii="Times New Roman" w:hAnsi="Times New Roman"/>
          <w:b/>
          <w:color w:val="000000"/>
          <w:sz w:val="36"/>
        </w:rPr>
        <w:t>BIBLIOGRAPHY</w:t>
      </w:r>
    </w:p>
    <w:p>
      <w:pPr>
        <w:spacing w:after="120"/>
        <w:ind w:left="720" w:hanging="720"/>
        <w:jc w:val="left"/>
      </w:pPr>
      <w:r>
        <w:rPr>
          <w:rFonts w:ascii="Times New Roman" w:hAnsi="Times New Roman"/>
          <w:b/>
          <w:sz w:val="24"/>
        </w:rPr>
        <w:t xml:space="preserve">[1] </w:t>
      </w:r>
      <w:r>
        <w:rPr>
          <w:rFonts w:ascii="Times New Roman" w:hAnsi="Times New Roman"/>
          <w:sz w:val="24"/>
        </w:rPr>
        <w:t>Pedregosa, F., et al. (2011). Scikit-learn: Machine Learning in Python. Journal of Machine Learning Research, 12, 2825–2830.</w:t>
      </w:r>
    </w:p>
    <w:p>
      <w:pPr>
        <w:spacing w:after="120"/>
        <w:ind w:left="720" w:hanging="720"/>
        <w:jc w:val="left"/>
      </w:pPr>
      <w:r>
        <w:rPr>
          <w:rFonts w:ascii="Times New Roman" w:hAnsi="Times New Roman"/>
          <w:b/>
          <w:sz w:val="24"/>
        </w:rPr>
        <w:t xml:space="preserve">[2] </w:t>
      </w:r>
      <w:r>
        <w:rPr>
          <w:rFonts w:ascii="Times New Roman" w:hAnsi="Times New Roman"/>
          <w:sz w:val="24"/>
        </w:rPr>
        <w:t>Lundberg, S. M., &amp; Lee, S.-I. (2017). A Unified Approach to Interpreting Model Predictions. Advances in Neural Information Processing Systems (NeurIPS 2017), 4765–4774.</w:t>
      </w:r>
    </w:p>
    <w:p>
      <w:pPr>
        <w:spacing w:after="120"/>
        <w:ind w:left="720" w:hanging="720"/>
        <w:jc w:val="left"/>
      </w:pPr>
      <w:r>
        <w:rPr>
          <w:rFonts w:ascii="Times New Roman" w:hAnsi="Times New Roman"/>
          <w:b/>
          <w:sz w:val="24"/>
        </w:rPr>
        <w:t xml:space="preserve">[3] </w:t>
      </w:r>
      <w:r>
        <w:rPr>
          <w:rFonts w:ascii="Times New Roman" w:hAnsi="Times New Roman"/>
          <w:sz w:val="24"/>
        </w:rPr>
        <w:t>McKinney, W. (2012). Python for Data Analysis: Data Wrangling with Pandas, NumPy, and IPython. O'Reilly Media.</w:t>
      </w:r>
    </w:p>
    <w:p>
      <w:pPr>
        <w:spacing w:after="120"/>
        <w:ind w:left="720" w:hanging="720"/>
        <w:jc w:val="left"/>
      </w:pPr>
      <w:r>
        <w:rPr>
          <w:rFonts w:ascii="Times New Roman" w:hAnsi="Times New Roman"/>
          <w:b/>
          <w:sz w:val="24"/>
        </w:rPr>
        <w:t xml:space="preserve">[4] </w:t>
      </w:r>
      <w:r>
        <w:rPr>
          <w:rFonts w:ascii="Times New Roman" w:hAnsi="Times New Roman"/>
          <w:sz w:val="24"/>
        </w:rPr>
        <w:t>Grinberg, M. (2018). Flask Web Development: Developing Web Applications with Python. O'Reilly Media.</w:t>
      </w:r>
    </w:p>
    <w:p>
      <w:pPr>
        <w:spacing w:after="120"/>
        <w:ind w:left="720" w:hanging="720"/>
        <w:jc w:val="left"/>
      </w:pPr>
      <w:r>
        <w:rPr>
          <w:rFonts w:ascii="Times New Roman" w:hAnsi="Times New Roman"/>
          <w:b/>
          <w:sz w:val="24"/>
        </w:rPr>
        <w:t xml:space="preserve">[5] </w:t>
      </w:r>
      <w:r>
        <w:rPr>
          <w:rFonts w:ascii="Times New Roman" w:hAnsi="Times New Roman"/>
          <w:sz w:val="24"/>
        </w:rPr>
        <w:t>Chrome Extensions API Reference. Google Developer Docs. Available at: https://developer.chrome.com/docs/extensions/</w:t>
      </w:r>
    </w:p>
    <w:p>
      <w:pPr>
        <w:spacing w:after="120"/>
        <w:ind w:left="720" w:hanging="720"/>
        <w:jc w:val="left"/>
      </w:pPr>
      <w:r>
        <w:rPr>
          <w:rFonts w:ascii="Times New Roman" w:hAnsi="Times New Roman"/>
          <w:b/>
          <w:sz w:val="24"/>
        </w:rPr>
        <w:t xml:space="preserve">[6] </w:t>
      </w:r>
      <w:r>
        <w:rPr>
          <w:rFonts w:ascii="Times New Roman" w:hAnsi="Times New Roman"/>
          <w:sz w:val="24"/>
        </w:rPr>
        <w:t>Google GenAI SDK Documentation. Pallets Projects. Available at: https://pypi.org/project/google-genai/</w:t>
      </w:r>
    </w:p>
    <w:p>
      <w:pPr>
        <w:spacing w:after="120"/>
        <w:ind w:left="720" w:hanging="720"/>
        <w:jc w:val="left"/>
      </w:pPr>
      <w:r>
        <w:rPr>
          <w:rFonts w:ascii="Times New Roman" w:hAnsi="Times New Roman"/>
          <w:b/>
          <w:sz w:val="24"/>
        </w:rPr>
        <w:t xml:space="preserve">[7] </w:t>
      </w:r>
      <w:r>
        <w:rPr>
          <w:rFonts w:ascii="Times New Roman" w:hAnsi="Times New Roman"/>
          <w:sz w:val="24"/>
        </w:rPr>
        <w:t>Sanglerdsinlapachai, N., &amp; Seneviratne, A. (2015). Real-Time Phishing Detection Using URL Structural Features. International Journal of Computer Theory and Engineering, 7(6), 487–492.</w:t>
      </w:r>
    </w:p>
    <w:p>
      <w:pPr>
        <w:spacing w:after="120"/>
        <w:ind w:left="720" w:hanging="720"/>
        <w:jc w:val="left"/>
      </w:pPr>
      <w:r>
        <w:rPr>
          <w:rFonts w:ascii="Times New Roman" w:hAnsi="Times New Roman"/>
          <w:b/>
          <w:sz w:val="24"/>
        </w:rPr>
        <w:t xml:space="preserve">[8] </w:t>
      </w:r>
      <w:r>
        <w:rPr>
          <w:rFonts w:ascii="Times New Roman" w:hAnsi="Times New Roman"/>
          <w:sz w:val="24"/>
        </w:rPr>
        <w:t>Shirazi, H., et al. (2019). Typosquatting Detection Using Machine Learning. IEEE International Conference on Trust, Security and Privacy in Computing and Communications (TrustCom), 321–328.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