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pPr>
      <w:r>
        <w:rPr>
          <w:rFonts w:ascii="Times New Roman" w:hAnsi="Times New Roman"/>
          <w:b/>
          <w:i w:val="0"/>
          <w:sz w:val="30"/>
        </w:rPr>
        <w:t>Multimodal Visual Sentiment Analysis on MSCTD: Faces, Scenes, Fusion, and Text</w:t>
      </w:r>
    </w:p>
    <w:p>
      <w:pPr>
        <w:spacing w:after="40" w:line="240" w:lineRule="auto"/>
        <w:jc w:val="center"/>
      </w:pPr>
      <w:r>
        <w:rPr>
          <w:rFonts w:ascii="Times New Roman" w:hAnsi="Times New Roman"/>
          <w:b w:val="0"/>
          <w:i w:val="0"/>
          <w:sz w:val="17"/>
        </w:rPr>
        <w:t>Shaik Sameer, Ammineni Harshitha, Tharigopula Sai Teja, Kakumanu Ravi Teja, Mosi Curran</w:t>
      </w:r>
    </w:p>
    <w:p>
      <w:pPr>
        <w:spacing w:after="40" w:line="240" w:lineRule="auto"/>
        <w:jc w:val="center"/>
      </w:pPr>
      <w:r>
        <w:rPr>
          <w:rFonts w:ascii="Times New Roman" w:hAnsi="Times New Roman"/>
          <w:b w:val="0"/>
          <w:i/>
          <w:sz w:val="16"/>
        </w:rPr>
        <w:t>EEEM068 Applied Machine Learning, University of Surrey</w:t>
      </w:r>
    </w:p>
    <w:p>
      <w:pPr>
        <w:spacing w:after="60"/>
        <w:jc w:val="both"/>
      </w:pPr>
      <w:r>
        <w:rPr>
          <w:rFonts w:ascii="Times New Roman" w:hAnsi="Times New Roman"/>
          <w:b/>
          <w:sz w:val="16"/>
        </w:rPr>
        <w:t>Abstract—</w:t>
      </w:r>
      <w:r>
        <w:rPr>
          <w:rFonts w:ascii="Times New Roman" w:hAnsi="Times New Roman"/>
          <w:sz w:val="16"/>
        </w:rPr>
        <w:t>This work studies three-class sentiment classification on the English-German split of MSCTD. We evaluate a staged pipeline comprising MTCNN face extraction, a ResNet18 face classifier, controlled robustness tests, a frozen ResNet50 full-image model, late fusion over visual probabilities, and an extra-credit CLIP image-text classifier. The processed corpus contains 30,370 image-text pairs and 43,768 detected face crops. Purely visual models occupy a narrow macro-F1 band near 0.36-0.38, showing that still-frame visual sentiment is intrinsically ambiguous in dialogue data. Augmentation reduces the face-model degradation gap from 5.5 to 0.5 macro-F1 points. Late fusion improves the negative class but not overall macro-F1, so it is best interpreted as a targeted routing result rather than a global win. The CLIP multimodal branch is strongest, reaching 0.570 accuracy and 0.562 macro-F1.</w:t>
      </w:r>
    </w:p>
    <w:p>
      <w:pPr>
        <w:spacing w:after="40" w:line="240" w:lineRule="auto"/>
      </w:pPr>
      <w:r>
        <w:rPr>
          <w:rFonts w:ascii="Times New Roman" w:hAnsi="Times New Roman"/>
          <w:b w:val="0"/>
          <w:i/>
          <w:sz w:val="16"/>
        </w:rPr>
        <w:t>Index Terms—sentiment analysis, MSCTD, MTCNN, ResNet, CLIP, multimodal fusion, robustness.</w:t>
      </w:r>
    </w:p>
    <w:p>
      <w:pPr>
        <w:sectPr>
          <w:pgSz w:w="12240" w:h="15840"/>
          <w:pgMar w:top="893" w:right="893" w:bottom="893" w:left="893" w:header="720" w:footer="720" w:gutter="0"/>
          <w:cols w:space="720"/>
          <w:docGrid w:linePitch="360"/>
        </w:sectPr>
      </w:pPr>
    </w:p>
    <w:p>
      <w:pPr>
        <w:keepNext/>
        <w:spacing w:before="80" w:after="20"/>
        <w:jc w:val="center"/>
      </w:pPr>
      <w:r>
        <w:rPr>
          <w:rFonts w:ascii="Times New Roman" w:hAnsi="Times New Roman"/>
          <w:b/>
          <w:sz w:val="18"/>
        </w:rPr>
        <w:t>I. Introduction</w:t>
      </w:r>
    </w:p>
    <w:p>
      <w:pPr>
        <w:spacing w:after="40" w:line="240" w:lineRule="auto"/>
      </w:pPr>
      <w:r>
        <w:rPr>
          <w:rFonts w:ascii="Times New Roman" w:hAnsi="Times New Roman"/>
          <w:b w:val="0"/>
          <w:i w:val="0"/>
          <w:sz w:val="17"/>
        </w:rPr>
        <w:t>Visual sentiment analysis is difficult because a still frame often lacks the semantic context that makes an utterance negative, neutral, or positive. In MSCTD, dialogue frames can show neutral faces while the associated text expresses anger, irony, affection, or reassurance. This report therefore treats the coursework pipeline as a modality study: how far can face crops and full images go, and how much does text change the result?</w:t>
      </w:r>
    </w:p>
    <w:p>
      <w:pPr>
        <w:spacing w:after="40" w:line="240" w:lineRule="auto"/>
      </w:pPr>
      <w:r>
        <w:rPr>
          <w:rFonts w:ascii="Times New Roman" w:hAnsi="Times New Roman"/>
          <w:b w:val="0"/>
          <w:i w:val="0"/>
          <w:sz w:val="17"/>
        </w:rPr>
        <w:t>The contribution is a reproducible seven-notebook pipeline. The study uses scene-level stratification to avoid dialogue leakage, explicit no-face and multi-face handling, controlled degradation tests, a frozen full-image transfer model, a compact late-fusion MLP, and a CLIP image-text model for the extra-credit component.</w:t>
      </w:r>
    </w:p>
    <w:p>
      <w:pPr>
        <w:keepNext/>
        <w:spacing w:before="80" w:after="20"/>
        <w:jc w:val="center"/>
      </w:pPr>
      <w:r>
        <w:rPr>
          <w:rFonts w:ascii="Times New Roman" w:hAnsi="Times New Roman"/>
          <w:b/>
          <w:sz w:val="18"/>
        </w:rPr>
        <w:t>II. Related Work</w:t>
      </w:r>
    </w:p>
    <w:p>
      <w:pPr>
        <w:spacing w:after="40" w:line="240" w:lineRule="auto"/>
      </w:pPr>
      <w:r>
        <w:rPr>
          <w:rFonts w:ascii="Times New Roman" w:hAnsi="Times New Roman"/>
          <w:b w:val="0"/>
          <w:i w:val="0"/>
          <w:sz w:val="17"/>
        </w:rPr>
        <w:t>ResNet remains a strong transfer-learning backbone because residual connections enable deeper convolutional networks to train reliably [1]. MTCNN is a standard cascade for face detection and alignment [2], while FaceNet illustrates the value of learned face representations [3]. Multimodal machine learning is commonly framed in terms of alignment and fusion [4]. CLIP is especially relevant because contrastive image-text pretraining yields aligned representations that can be reused with a lightweight classifier [5].</w:t>
      </w:r>
    </w:p>
    <w:p>
      <w:pPr>
        <w:keepNext/>
        <w:spacing w:before="80" w:after="20"/>
        <w:jc w:val="center"/>
      </w:pPr>
      <w:r>
        <w:rPr>
          <w:rFonts w:ascii="Times New Roman" w:hAnsi="Times New Roman"/>
          <w:b/>
          <w:sz w:val="18"/>
        </w:rPr>
        <w:t>III. Dataset and Preprocessing</w:t>
      </w:r>
    </w:p>
    <w:p>
      <w:pPr>
        <w:spacing w:after="40" w:line="240" w:lineRule="auto"/>
      </w:pPr>
      <w:r>
        <w:rPr>
          <w:rFonts w:ascii="Times New Roman" w:hAnsi="Times New Roman"/>
          <w:b w:val="0"/>
          <w:i w:val="0"/>
          <w:sz w:val="17"/>
        </w:rPr>
        <w:t>The English-German split was parsed into 30,370 utterance-image pairs across 3,079 dialogue scenes. Splitting was performed at scene level, not row level, so related utterances from the same dialogue cannot appear in both training and test partitions. The final split contains 21,367 train, 4,572 validation, and 4,431 test samples. Neutral is the largest class at 39.0%, followed by negative at 32.9% and positive at 28.1%; consequently, macro-F1 is the primary metric.</w:t>
      </w:r>
    </w:p>
    <w:p>
      <w:pPr>
        <w:spacing w:after="20"/>
        <w:jc w:val="center"/>
      </w:pPr>
      <w:r>
        <w:drawing>
          <wp:inline xmlns:a="http://schemas.openxmlformats.org/drawingml/2006/main" xmlns:pic="http://schemas.openxmlformats.org/drawingml/2006/picture">
            <wp:extent cx="3063240" cy="2119262"/>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063240" cy="2119262"/>
                    </a:xfrm>
                    <a:prstGeom prst="rect"/>
                  </pic:spPr>
                </pic:pic>
              </a:graphicData>
            </a:graphic>
          </wp:inline>
        </w:drawing>
      </w:r>
    </w:p>
    <w:p>
      <w:pPr>
        <w:spacing w:after="60" w:line="240" w:lineRule="auto"/>
        <w:jc w:val="center"/>
      </w:pPr>
      <w:r>
        <w:rPr>
          <w:rFonts w:ascii="Times New Roman" w:hAnsi="Times New Roman"/>
          <w:b w:val="0"/>
          <w:i/>
          <w:sz w:val="14"/>
        </w:rPr>
        <w:t>Fig. 1. Class distribution in the processed MSCTD En-De split.</w:t>
      </w:r>
    </w:p>
    <w:p>
      <w:pPr>
        <w:keepNext/>
        <w:spacing w:before="80" w:after="20"/>
        <w:jc w:val="center"/>
      </w:pPr>
      <w:r>
        <w:rPr>
          <w:rFonts w:ascii="Times New Roman" w:hAnsi="Times New Roman"/>
          <w:b/>
          <w:sz w:val="18"/>
        </w:rPr>
        <w:t>IV. Methodology</w:t>
      </w:r>
    </w:p>
    <w:p>
      <w:pPr>
        <w:keepNext/>
        <w:spacing w:before="40" w:after="20"/>
        <w:jc w:val="left"/>
      </w:pPr>
      <w:r>
        <w:rPr>
          <w:rFonts w:ascii="Times New Roman" w:hAnsi="Times New Roman"/>
          <w:b/>
          <w:sz w:val="17"/>
        </w:rPr>
        <w:t>A. Face Branch</w:t>
      </w:r>
    </w:p>
    <w:p>
      <w:pPr>
        <w:spacing w:after="40" w:line="240" w:lineRule="auto"/>
      </w:pPr>
      <w:r>
        <w:rPr>
          <w:rFonts w:ascii="Times New Roman" w:hAnsi="Times New Roman"/>
          <w:b w:val="0"/>
          <w:i w:val="0"/>
          <w:sz w:val="17"/>
        </w:rPr>
        <w:t>MTCNN extracted 43,768 face crops. In the test split, 3,823 of 4,431 images contain at least one detected face, while 608 contain none. Each crop inherits the image-level sentiment label. A ResNet18 initialized from ImageNet weights is fine-tuned on crop-level examples with inverse-frequency class weights. Multi-face predictions are averaged as softmax probabilities at image level.</w:t>
      </w:r>
    </w:p>
    <w:p>
      <w:pPr>
        <w:spacing w:after="20"/>
        <w:jc w:val="center"/>
      </w:pPr>
      <w:r>
        <w:drawing>
          <wp:inline xmlns:a="http://schemas.openxmlformats.org/drawingml/2006/main" xmlns:pic="http://schemas.openxmlformats.org/drawingml/2006/picture">
            <wp:extent cx="3063240" cy="977862"/>
            <wp:docPr id="2" name="Picture 2"/>
            <wp:cNvGraphicFramePr>
              <a:graphicFrameLocks noChangeAspect="1"/>
            </wp:cNvGraphicFramePr>
            <a:graphic>
              <a:graphicData uri="http://schemas.openxmlformats.org/drawingml/2006/picture">
                <pic:pic>
                  <pic:nvPicPr>
                    <pic:cNvPr id="0" name="face_stats.png"/>
                    <pic:cNvPicPr/>
                  </pic:nvPicPr>
                  <pic:blipFill>
                    <a:blip r:embed="rId10"/>
                    <a:stretch>
                      <a:fillRect/>
                    </a:stretch>
                  </pic:blipFill>
                  <pic:spPr>
                    <a:xfrm>
                      <a:off x="0" y="0"/>
                      <a:ext cx="3063240" cy="977862"/>
                    </a:xfrm>
                    <a:prstGeom prst="rect"/>
                  </pic:spPr>
                </pic:pic>
              </a:graphicData>
            </a:graphic>
          </wp:inline>
        </w:drawing>
      </w:r>
    </w:p>
    <w:p>
      <w:pPr>
        <w:spacing w:after="60" w:line="240" w:lineRule="auto"/>
        <w:jc w:val="center"/>
      </w:pPr>
      <w:r>
        <w:rPr>
          <w:rFonts w:ascii="Times New Roman" w:hAnsi="Times New Roman"/>
          <w:b w:val="0"/>
          <w:i/>
          <w:sz w:val="14"/>
        </w:rPr>
        <w:t>Fig. 2. Face-count and MTCNN confidence summaries.</w:t>
      </w:r>
    </w:p>
    <w:p>
      <w:pPr>
        <w:keepNext/>
        <w:spacing w:before="40" w:after="20"/>
        <w:jc w:val="left"/>
      </w:pPr>
      <w:r>
        <w:rPr>
          <w:rFonts w:ascii="Times New Roman" w:hAnsi="Times New Roman"/>
          <w:b/>
          <w:sz w:val="17"/>
        </w:rPr>
        <w:t>B. Robustness</w:t>
      </w:r>
    </w:p>
    <w:p>
      <w:pPr>
        <w:spacing w:after="40" w:line="240" w:lineRule="auto"/>
      </w:pPr>
      <w:r>
        <w:rPr>
          <w:rFonts w:ascii="Times New Roman" w:hAnsi="Times New Roman"/>
          <w:b w:val="0"/>
          <w:i w:val="0"/>
          <w:sz w:val="17"/>
        </w:rPr>
        <w:t>The robustness study applies three degradation families: brightness/contrast shifts, spatial transforms, and frequency corruptions such as blur, JPEG recompression, and Gaussian noise. Experiments A and B isolate the clean-to-degraded generalisation gap; experiment C retrains with mixed original/degraded inputs using p_degrade=0.5.</w:t>
      </w:r>
    </w:p>
    <w:p>
      <w:pPr>
        <w:spacing w:after="20"/>
        <w:jc w:val="center"/>
      </w:pPr>
      <w:r>
        <w:drawing>
          <wp:inline xmlns:a="http://schemas.openxmlformats.org/drawingml/2006/main" xmlns:pic="http://schemas.openxmlformats.org/drawingml/2006/picture">
            <wp:extent cx="2926080" cy="2120532"/>
            <wp:docPr id="3" name="Picture 3"/>
            <wp:cNvGraphicFramePr>
              <a:graphicFrameLocks noChangeAspect="1"/>
            </wp:cNvGraphicFramePr>
            <a:graphic>
              <a:graphicData uri="http://schemas.openxmlformats.org/drawingml/2006/picture">
                <pic:pic>
                  <pic:nvPicPr>
                    <pic:cNvPr id="0" name="augmentation_examples.png"/>
                    <pic:cNvPicPr/>
                  </pic:nvPicPr>
                  <pic:blipFill>
                    <a:blip r:embed="rId11"/>
                    <a:stretch>
                      <a:fillRect/>
                    </a:stretch>
                  </pic:blipFill>
                  <pic:spPr>
                    <a:xfrm>
                      <a:off x="0" y="0"/>
                      <a:ext cx="2926080" cy="2120532"/>
                    </a:xfrm>
                    <a:prstGeom prst="rect"/>
                  </pic:spPr>
                </pic:pic>
              </a:graphicData>
            </a:graphic>
          </wp:inline>
        </w:drawing>
      </w:r>
    </w:p>
    <w:p>
      <w:pPr>
        <w:spacing w:after="60" w:line="240" w:lineRule="auto"/>
        <w:jc w:val="center"/>
      </w:pPr>
      <w:r>
        <w:rPr>
          <w:rFonts w:ascii="Times New Roman" w:hAnsi="Times New Roman"/>
          <w:b w:val="0"/>
          <w:i/>
          <w:sz w:val="14"/>
        </w:rPr>
        <w:t>Fig. 3. Example brightness, spatial, and frequency degradations.</w:t>
      </w:r>
    </w:p>
    <w:p>
      <w:pPr>
        <w:keepNext/>
        <w:spacing w:before="40" w:after="20"/>
        <w:jc w:val="left"/>
      </w:pPr>
      <w:r>
        <w:rPr>
          <w:rFonts w:ascii="Times New Roman" w:hAnsi="Times New Roman"/>
          <w:b/>
          <w:sz w:val="17"/>
        </w:rPr>
        <w:t>C. Full-Image and Fusion Branches</w:t>
      </w:r>
    </w:p>
    <w:p>
      <w:pPr>
        <w:spacing w:after="40" w:line="240" w:lineRule="auto"/>
      </w:pPr>
      <w:r>
        <w:rPr>
          <w:rFonts w:ascii="Times New Roman" w:hAnsi="Times New Roman"/>
          <w:b w:val="0"/>
          <w:i w:val="0"/>
          <w:sz w:val="17"/>
        </w:rPr>
        <w:t>The full-image model uses a frozen ImageNet ResNet50 as a 2048-dimensional feature extractor followed by a 512-128-3 MLP head. It captures scene context, body posture, props, and lighting that are absent from face crops. The fusion model is an 8-dimensional late-fusion MLP over face probabilities, full-image probabilities, normalized face count, and a face-detected flag.</w:t>
      </w:r>
    </w:p>
    <w:p>
      <w:pPr>
        <w:keepNext/>
        <w:spacing w:before="40" w:after="20"/>
        <w:jc w:val="left"/>
      </w:pPr>
      <w:r>
        <w:rPr>
          <w:rFonts w:ascii="Times New Roman" w:hAnsi="Times New Roman"/>
          <w:b/>
          <w:sz w:val="17"/>
        </w:rPr>
        <w:t>D. CLIP Extra Credit</w:t>
      </w:r>
    </w:p>
    <w:p>
      <w:pPr>
        <w:spacing w:after="40" w:line="240" w:lineRule="auto"/>
      </w:pPr>
      <w:r>
        <w:rPr>
          <w:rFonts w:ascii="Times New Roman" w:hAnsi="Times New Roman"/>
          <w:b w:val="0"/>
          <w:i w:val="0"/>
          <w:sz w:val="17"/>
        </w:rPr>
        <w:t>The extra-credit model uses frozen CLIP ViT-B/32 image and text encoders. Their 512-dimensional projections are concatenated and passed into a small MLP classifier. Only 295,683 of 151.6M parameters are trainable. A low-learning-rate last-block unfreeze was implemented as a stage-two option, but the smoke test reduced validation macro-F1, so the frozen encoder configuration is reported.</w:t>
      </w:r>
    </w:p>
    <w:p>
      <w:pPr>
        <w:keepNext/>
        <w:spacing w:before="80" w:after="20"/>
        <w:jc w:val="center"/>
      </w:pPr>
      <w:r>
        <w:rPr>
          <w:rFonts w:ascii="Times New Roman" w:hAnsi="Times New Roman"/>
          <w:b/>
          <w:sz w:val="18"/>
        </w:rPr>
        <w:t>V. Experiments and Results</w:t>
      </w:r>
    </w:p>
    <w:p>
      <w:pPr>
        <w:spacing w:after="20"/>
        <w:jc w:val="center"/>
      </w:pPr>
      <w:r>
        <w:drawing>
          <wp:inline xmlns:a="http://schemas.openxmlformats.org/drawingml/2006/main" xmlns:pic="http://schemas.openxmlformats.org/drawingml/2006/picture">
            <wp:extent cx="3063240" cy="1149736"/>
            <wp:docPr id="4" name="Picture 4"/>
            <wp:cNvGraphicFramePr>
              <a:graphicFrameLocks noChangeAspect="1"/>
            </wp:cNvGraphicFramePr>
            <a:graphic>
              <a:graphicData uri="http://schemas.openxmlformats.org/drawingml/2006/picture">
                <pic:pic>
                  <pic:nvPicPr>
                    <pic:cNvPr id="0" name="table_final_comparison.png"/>
                    <pic:cNvPicPr/>
                  </pic:nvPicPr>
                  <pic:blipFill>
                    <a:blip r:embed="rId12"/>
                    <a:stretch>
                      <a:fillRect/>
                    </a:stretch>
                  </pic:blipFill>
                  <pic:spPr>
                    <a:xfrm>
                      <a:off x="0" y="0"/>
                      <a:ext cx="3063240" cy="1149736"/>
                    </a:xfrm>
                    <a:prstGeom prst="rect"/>
                  </pic:spPr>
                </pic:pic>
              </a:graphicData>
            </a:graphic>
          </wp:inline>
        </w:drawing>
      </w:r>
    </w:p>
    <w:p>
      <w:pPr>
        <w:spacing w:after="60" w:line="240" w:lineRule="auto"/>
        <w:jc w:val="center"/>
      </w:pPr>
      <w:r>
        <w:rPr>
          <w:rFonts w:ascii="Times New Roman" w:hAnsi="Times New Roman"/>
          <w:b w:val="0"/>
          <w:i/>
          <w:sz w:val="14"/>
        </w:rPr>
        <w:t>Table I. Test-set comparison. CLIP is added from the saved JSON metrics, correcting the stale CSV.</w:t>
      </w:r>
    </w:p>
    <w:p>
      <w:pPr>
        <w:spacing w:after="20"/>
        <w:jc w:val="center"/>
      </w:pPr>
      <w:r>
        <w:drawing>
          <wp:inline xmlns:a="http://schemas.openxmlformats.org/drawingml/2006/main" xmlns:pic="http://schemas.openxmlformats.org/drawingml/2006/picture">
            <wp:extent cx="3063240" cy="1735836"/>
            <wp:docPr id="5" name="Picture 5"/>
            <wp:cNvGraphicFramePr>
              <a:graphicFrameLocks noChangeAspect="1"/>
            </wp:cNvGraphicFramePr>
            <a:graphic>
              <a:graphicData uri="http://schemas.openxmlformats.org/drawingml/2006/picture">
                <pic:pic>
                  <pic:nvPicPr>
                    <pic:cNvPr id="0" name="macro_f1_compact.png"/>
                    <pic:cNvPicPr/>
                  </pic:nvPicPr>
                  <pic:blipFill>
                    <a:blip r:embed="rId13"/>
                    <a:stretch>
                      <a:fillRect/>
                    </a:stretch>
                  </pic:blipFill>
                  <pic:spPr>
                    <a:xfrm>
                      <a:off x="0" y="0"/>
                      <a:ext cx="3063240" cy="1735836"/>
                    </a:xfrm>
                    <a:prstGeom prst="rect"/>
                  </pic:spPr>
                </pic:pic>
              </a:graphicData>
            </a:graphic>
          </wp:inline>
        </w:drawing>
      </w:r>
    </w:p>
    <w:p>
      <w:pPr>
        <w:spacing w:after="60" w:line="240" w:lineRule="auto"/>
        <w:jc w:val="center"/>
      </w:pPr>
      <w:r>
        <w:rPr>
          <w:rFonts w:ascii="Times New Roman" w:hAnsi="Times New Roman"/>
          <w:b w:val="0"/>
          <w:i/>
          <w:sz w:val="14"/>
        </w:rPr>
        <w:t>Fig. 4. Macro-F1 summary across the main evaluated models.</w:t>
      </w:r>
    </w:p>
    <w:p>
      <w:pPr>
        <w:keepNext/>
        <w:spacing w:before="40" w:after="20"/>
        <w:jc w:val="left"/>
      </w:pPr>
      <w:r>
        <w:rPr>
          <w:rFonts w:ascii="Times New Roman" w:hAnsi="Times New Roman"/>
          <w:b/>
          <w:sz w:val="17"/>
        </w:rPr>
        <w:t>A. Robustness</w:t>
      </w:r>
    </w:p>
    <w:p>
      <w:pPr>
        <w:spacing w:after="20"/>
        <w:jc w:val="center"/>
      </w:pPr>
      <w:r>
        <w:drawing>
          <wp:inline xmlns:a="http://schemas.openxmlformats.org/drawingml/2006/main" xmlns:pic="http://schemas.openxmlformats.org/drawingml/2006/picture">
            <wp:extent cx="3063240" cy="684124"/>
            <wp:docPr id="6" name="Picture 6"/>
            <wp:cNvGraphicFramePr>
              <a:graphicFrameLocks noChangeAspect="1"/>
            </wp:cNvGraphicFramePr>
            <a:graphic>
              <a:graphicData uri="http://schemas.openxmlformats.org/drawingml/2006/picture">
                <pic:pic>
                  <pic:nvPicPr>
                    <pic:cNvPr id="0" name="table_robustness.png"/>
                    <pic:cNvPicPr/>
                  </pic:nvPicPr>
                  <pic:blipFill>
                    <a:blip r:embed="rId14"/>
                    <a:stretch>
                      <a:fillRect/>
                    </a:stretch>
                  </pic:blipFill>
                  <pic:spPr>
                    <a:xfrm>
                      <a:off x="0" y="0"/>
                      <a:ext cx="3063240" cy="684124"/>
                    </a:xfrm>
                    <a:prstGeom prst="rect"/>
                  </pic:spPr>
                </pic:pic>
              </a:graphicData>
            </a:graphic>
          </wp:inline>
        </w:drawing>
      </w:r>
    </w:p>
    <w:p>
      <w:pPr>
        <w:spacing w:after="60" w:line="240" w:lineRule="auto"/>
        <w:jc w:val="center"/>
      </w:pPr>
      <w:r>
        <w:rPr>
          <w:rFonts w:ascii="Times New Roman" w:hAnsi="Times New Roman"/>
          <w:b w:val="0"/>
          <w:i/>
          <w:sz w:val="14"/>
        </w:rPr>
        <w:t>Table II. Robustness results for original and augmentation-trained face models.</w:t>
      </w:r>
    </w:p>
    <w:p>
      <w:pPr>
        <w:spacing w:after="40" w:line="240" w:lineRule="auto"/>
      </w:pPr>
      <w:r>
        <w:rPr>
          <w:rFonts w:ascii="Times New Roman" w:hAnsi="Times New Roman"/>
          <w:b w:val="0"/>
          <w:i w:val="0"/>
          <w:sz w:val="17"/>
        </w:rPr>
        <w:t>The original face model drops from 0.378 to 0.322 macro-F1 under degraded testing, a 5.5-point loss. The augmentation-trained model scores 0.366 on clean crops and 0.361 on degraded crops, reducing the robustness gap to 0.5 points. The small clean-performance cost is therefore exchanged for materially better deployment robustness.</w:t>
      </w:r>
    </w:p>
    <w:p>
      <w:pPr>
        <w:keepNext/>
        <w:spacing w:before="40" w:after="20"/>
        <w:jc w:val="left"/>
      </w:pPr>
      <w:r>
        <w:rPr>
          <w:rFonts w:ascii="Times New Roman" w:hAnsi="Times New Roman"/>
          <w:b/>
          <w:sz w:val="17"/>
        </w:rPr>
        <w:t>B. Per-Class Analysis</w:t>
      </w:r>
    </w:p>
    <w:p>
      <w:pPr>
        <w:spacing w:after="20"/>
        <w:jc w:val="center"/>
      </w:pPr>
      <w:r>
        <w:drawing>
          <wp:inline xmlns:a="http://schemas.openxmlformats.org/drawingml/2006/main" xmlns:pic="http://schemas.openxmlformats.org/drawingml/2006/picture">
            <wp:extent cx="3063240" cy="684124"/>
            <wp:docPr id="7" name="Picture 7"/>
            <wp:cNvGraphicFramePr>
              <a:graphicFrameLocks noChangeAspect="1"/>
            </wp:cNvGraphicFramePr>
            <a:graphic>
              <a:graphicData uri="http://schemas.openxmlformats.org/drawingml/2006/picture">
                <pic:pic>
                  <pic:nvPicPr>
                    <pic:cNvPr id="0" name="table_per_class.png"/>
                    <pic:cNvPicPr/>
                  </pic:nvPicPr>
                  <pic:blipFill>
                    <a:blip r:embed="rId15"/>
                    <a:stretch>
                      <a:fillRect/>
                    </a:stretch>
                  </pic:blipFill>
                  <pic:spPr>
                    <a:xfrm>
                      <a:off x="0" y="0"/>
                      <a:ext cx="3063240" cy="684124"/>
                    </a:xfrm>
                    <a:prstGeom prst="rect"/>
                  </pic:spPr>
                </pic:pic>
              </a:graphicData>
            </a:graphic>
          </wp:inline>
        </w:drawing>
      </w:r>
    </w:p>
    <w:p>
      <w:pPr>
        <w:spacing w:after="60" w:line="240" w:lineRule="auto"/>
        <w:jc w:val="center"/>
      </w:pPr>
      <w:r>
        <w:rPr>
          <w:rFonts w:ascii="Times New Roman" w:hAnsi="Times New Roman"/>
          <w:b w:val="0"/>
          <w:i/>
          <w:sz w:val="14"/>
        </w:rPr>
        <w:t>Table III. Per-class F1. Fusion improves negative F1 but weakens positive F1.</w:t>
      </w:r>
    </w:p>
    <w:p>
      <w:pPr>
        <w:spacing w:after="40" w:line="240" w:lineRule="auto"/>
      </w:pPr>
      <w:r>
        <w:rPr>
          <w:rFonts w:ascii="Times New Roman" w:hAnsi="Times New Roman"/>
          <w:b w:val="0"/>
          <w:i w:val="0"/>
          <w:sz w:val="17"/>
        </w:rPr>
        <w:t>The full-image branch is strongest on neutral (0.492 F1), consistent with scene context helping visually flat dialogue frames. Fusion should be framed carefully: negative F1 improves to 0.430, above both face and full-image branches, but positive F1 falls to 0.192. Thus the fusion result is a targeted negative-class and regime-specific gain rather than an overall macro-F1 victory.</w:t>
      </w:r>
    </w:p>
    <w:p>
      <w:pPr>
        <w:spacing w:after="20"/>
        <w:jc w:val="center"/>
      </w:pPr>
      <w:r>
        <w:drawing>
          <wp:inline xmlns:a="http://schemas.openxmlformats.org/drawingml/2006/main" xmlns:pic="http://schemas.openxmlformats.org/drawingml/2006/picture">
            <wp:extent cx="3063240" cy="2744559"/>
            <wp:docPr id="8" name="Picture 8"/>
            <wp:cNvGraphicFramePr>
              <a:graphicFrameLocks noChangeAspect="1"/>
            </wp:cNvGraphicFramePr>
            <a:graphic>
              <a:graphicData uri="http://schemas.openxmlformats.org/drawingml/2006/picture">
                <pic:pic>
                  <pic:nvPicPr>
                    <pic:cNvPr id="0" name="fusion_mlp_cm.png"/>
                    <pic:cNvPicPr/>
                  </pic:nvPicPr>
                  <pic:blipFill>
                    <a:blip r:embed="rId16"/>
                    <a:stretch>
                      <a:fillRect/>
                    </a:stretch>
                  </pic:blipFill>
                  <pic:spPr>
                    <a:xfrm>
                      <a:off x="0" y="0"/>
                      <a:ext cx="3063240" cy="2744559"/>
                    </a:xfrm>
                    <a:prstGeom prst="rect"/>
                  </pic:spPr>
                </pic:pic>
              </a:graphicData>
            </a:graphic>
          </wp:inline>
        </w:drawing>
      </w:r>
    </w:p>
    <w:p>
      <w:pPr>
        <w:spacing w:after="60" w:line="240" w:lineRule="auto"/>
        <w:jc w:val="center"/>
      </w:pPr>
      <w:r>
        <w:rPr>
          <w:rFonts w:ascii="Times New Roman" w:hAnsi="Times New Roman"/>
          <w:b w:val="0"/>
          <w:i/>
          <w:sz w:val="14"/>
        </w:rPr>
        <w:t>Fig. 5. Fusion confusion matrix: negative recall improves, positive recall collapses.</w:t>
      </w:r>
    </w:p>
    <w:p>
      <w:pPr>
        <w:keepNext/>
        <w:spacing w:before="40" w:after="20"/>
        <w:jc w:val="left"/>
      </w:pPr>
      <w:r>
        <w:rPr>
          <w:rFonts w:ascii="Times New Roman" w:hAnsi="Times New Roman"/>
          <w:b/>
          <w:sz w:val="17"/>
        </w:rPr>
        <w:t>C. CLIP Multimodal Result</w:t>
      </w:r>
    </w:p>
    <w:p>
      <w:pPr>
        <w:spacing w:after="40" w:line="240" w:lineRule="auto"/>
      </w:pPr>
      <w:r>
        <w:rPr>
          <w:rFonts w:ascii="Times New Roman" w:hAnsi="Times New Roman"/>
          <w:b w:val="0"/>
          <w:i w:val="0"/>
          <w:sz w:val="17"/>
        </w:rPr>
        <w:t>CLIP reaches 0.570 accuracy, 0.562 macro-F1, and 0.567 weighted-F1. Its per-class F1 values are 0.535 negative, 0.629 neutral, and 0.522 positive. It is the only model for which every class exceeds 0.5 F1.</w:t>
      </w:r>
    </w:p>
    <w:p>
      <w:pPr>
        <w:spacing w:after="20"/>
        <w:jc w:val="center"/>
      </w:pPr>
      <w:r>
        <w:drawing>
          <wp:inline xmlns:a="http://schemas.openxmlformats.org/drawingml/2006/main" xmlns:pic="http://schemas.openxmlformats.org/drawingml/2006/picture">
            <wp:extent cx="3063240" cy="2744559"/>
            <wp:docPr id="9" name="Picture 9"/>
            <wp:cNvGraphicFramePr>
              <a:graphicFrameLocks noChangeAspect="1"/>
            </wp:cNvGraphicFramePr>
            <a:graphic>
              <a:graphicData uri="http://schemas.openxmlformats.org/drawingml/2006/picture">
                <pic:pic>
                  <pic:nvPicPr>
                    <pic:cNvPr id="0" name="clip_multimodal_cm.png"/>
                    <pic:cNvPicPr/>
                  </pic:nvPicPr>
                  <pic:blipFill>
                    <a:blip r:embed="rId17"/>
                    <a:stretch>
                      <a:fillRect/>
                    </a:stretch>
                  </pic:blipFill>
                  <pic:spPr>
                    <a:xfrm>
                      <a:off x="0" y="0"/>
                      <a:ext cx="3063240" cy="2744559"/>
                    </a:xfrm>
                    <a:prstGeom prst="rect"/>
                  </pic:spPr>
                </pic:pic>
              </a:graphicData>
            </a:graphic>
          </wp:inline>
        </w:drawing>
      </w:r>
    </w:p>
    <w:p>
      <w:pPr>
        <w:spacing w:after="60" w:line="240" w:lineRule="auto"/>
        <w:jc w:val="center"/>
      </w:pPr>
      <w:r>
        <w:rPr>
          <w:rFonts w:ascii="Times New Roman" w:hAnsi="Times New Roman"/>
          <w:b w:val="0"/>
          <w:i/>
          <w:sz w:val="14"/>
        </w:rPr>
        <w:t>Fig. 6. CLIP confusion matrix: substantially more balanced than fusion.</w:t>
      </w:r>
    </w:p>
    <w:p>
      <w:pPr>
        <w:spacing w:after="20"/>
        <w:jc w:val="center"/>
      </w:pPr>
      <w:r>
        <w:drawing>
          <wp:inline xmlns:a="http://schemas.openxmlformats.org/drawingml/2006/main" xmlns:pic="http://schemas.openxmlformats.org/drawingml/2006/picture">
            <wp:extent cx="3063240" cy="1166507"/>
            <wp:docPr id="10" name="Picture 10"/>
            <wp:cNvGraphicFramePr>
              <a:graphicFrameLocks noChangeAspect="1"/>
            </wp:cNvGraphicFramePr>
            <a:graphic>
              <a:graphicData uri="http://schemas.openxmlformats.org/drawingml/2006/picture">
                <pic:pic>
                  <pic:nvPicPr>
                    <pic:cNvPr id="0" name="clip_training_curve.png"/>
                    <pic:cNvPicPr/>
                  </pic:nvPicPr>
                  <pic:blipFill>
                    <a:blip r:embed="rId18"/>
                    <a:stretch>
                      <a:fillRect/>
                    </a:stretch>
                  </pic:blipFill>
                  <pic:spPr>
                    <a:xfrm>
                      <a:off x="0" y="0"/>
                      <a:ext cx="3063240" cy="1166507"/>
                    </a:xfrm>
                    <a:prstGeom prst="rect"/>
                  </pic:spPr>
                </pic:pic>
              </a:graphicData>
            </a:graphic>
          </wp:inline>
        </w:drawing>
      </w:r>
    </w:p>
    <w:p>
      <w:pPr>
        <w:spacing w:after="60" w:line="240" w:lineRule="auto"/>
        <w:jc w:val="center"/>
      </w:pPr>
      <w:r>
        <w:rPr>
          <w:rFonts w:ascii="Times New Roman" w:hAnsi="Times New Roman"/>
          <w:b w:val="0"/>
          <w:i/>
          <w:sz w:val="14"/>
        </w:rPr>
        <w:t>Fig. 7. CLIP frozen-encoder training curve.</w:t>
      </w:r>
    </w:p>
    <w:p>
      <w:pPr>
        <w:keepNext/>
        <w:spacing w:before="80" w:after="20"/>
        <w:jc w:val="center"/>
      </w:pPr>
      <w:r>
        <w:rPr>
          <w:rFonts w:ascii="Times New Roman" w:hAnsi="Times New Roman"/>
          <w:b/>
          <w:sz w:val="18"/>
        </w:rPr>
        <w:t>VI. Discussion</w:t>
      </w:r>
    </w:p>
    <w:p>
      <w:pPr>
        <w:spacing w:after="40" w:line="240" w:lineRule="auto"/>
      </w:pPr>
      <w:r>
        <w:rPr>
          <w:rFonts w:ascii="Times New Roman" w:hAnsi="Times New Roman"/>
          <w:b w:val="0"/>
          <w:i w:val="0"/>
          <w:sz w:val="17"/>
        </w:rPr>
        <w:t>The central empirical finding is a visual ceiling: face crops, full images, and probability-level fusion all improve over the majority baseline, yet remain close to 0.36-0.38 macro-F1. This supports the interpretation that MSCTD sentiment is often carried by utterance semantics rather than by still-frame visual evidence alone. The CLIP result is therefore not only a stronger score; it diagnoses where the missing information resides.</w:t>
      </w:r>
    </w:p>
    <w:p>
      <w:pPr>
        <w:spacing w:after="40" w:line="240" w:lineRule="auto"/>
      </w:pPr>
      <w:r>
        <w:rPr>
          <w:rFonts w:ascii="Times New Roman" w:hAnsi="Times New Roman"/>
          <w:b w:val="0"/>
          <w:i w:val="0"/>
          <w:sz w:val="17"/>
        </w:rPr>
        <w:t>The fusion result remains valuable despite its lower macro-F1. It shows that face-count-aware routing contains signal, especially for the negative class, but that a shared MLP over probabilities is too blunt for positive sentiment and no-face cases. Better follow-up designs include calibrated logit fusion, class-conditional gates, or attention over the sequence of detected face embeddings.</w:t>
      </w:r>
    </w:p>
    <w:p>
      <w:pPr>
        <w:keepNext/>
        <w:spacing w:before="80" w:after="20"/>
        <w:jc w:val="center"/>
      </w:pPr>
      <w:r>
        <w:rPr>
          <w:rFonts w:ascii="Times New Roman" w:hAnsi="Times New Roman"/>
          <w:b/>
          <w:sz w:val="18"/>
        </w:rPr>
        <w:t>VII. Conclusion</w:t>
      </w:r>
    </w:p>
    <w:p>
      <w:pPr>
        <w:spacing w:after="40" w:line="240" w:lineRule="auto"/>
      </w:pPr>
      <w:r>
        <w:rPr>
          <w:rFonts w:ascii="Times New Roman" w:hAnsi="Times New Roman"/>
          <w:b w:val="0"/>
          <w:i w:val="0"/>
          <w:sz w:val="17"/>
        </w:rPr>
        <w:t>This project demonstrates a complete and reproducible multimodal sentiment pipeline for MSCTD En-De. The face branch establishes a meaningful but limited visual signal, augmentation improves robustness, the full-image model contributes scene context, and late fusion exposes useful negative-class routing without improving global macro-F1. The CLIP branch is the strongest model because it adds utterance text, reaching 0.562 macro-F1 with balanced per-class performance. The main conclusion is that dialogue sentiment cannot be reliably solved from still images alone; robust performance requires multimodal evidence.</w:t>
      </w:r>
    </w:p>
    <w:p>
      <w:pPr>
        <w:keepNext/>
        <w:spacing w:before="80" w:after="20"/>
        <w:jc w:val="center"/>
      </w:pPr>
      <w:r>
        <w:rPr>
          <w:rFonts w:ascii="Times New Roman" w:hAnsi="Times New Roman"/>
          <w:b/>
          <w:sz w:val="18"/>
        </w:rPr>
        <w:t>References</w:t>
      </w:r>
    </w:p>
    <w:p>
      <w:pPr>
        <w:spacing w:after="40" w:line="240" w:lineRule="auto"/>
      </w:pPr>
      <w:r>
        <w:rPr>
          <w:rFonts w:ascii="Times New Roman" w:hAnsi="Times New Roman"/>
          <w:b w:val="0"/>
          <w:i w:val="0"/>
          <w:sz w:val="15"/>
        </w:rPr>
        <w:t>[1] K. He et al., "Deep residual learning for image recognition," CVPR, 2016.</w:t>
      </w:r>
    </w:p>
    <w:p>
      <w:pPr>
        <w:spacing w:after="40" w:line="240" w:lineRule="auto"/>
      </w:pPr>
      <w:r>
        <w:rPr>
          <w:rFonts w:ascii="Times New Roman" w:hAnsi="Times New Roman"/>
          <w:b w:val="0"/>
          <w:i w:val="0"/>
          <w:sz w:val="15"/>
        </w:rPr>
        <w:t>[2] K. Zhang et al., "Joint face detection and alignment using multitask cascaded convolutional networks," IEEE Signal Processing Letters, 2016.</w:t>
      </w:r>
    </w:p>
    <w:p>
      <w:pPr>
        <w:spacing w:after="40" w:line="240" w:lineRule="auto"/>
      </w:pPr>
      <w:r>
        <w:rPr>
          <w:rFonts w:ascii="Times New Roman" w:hAnsi="Times New Roman"/>
          <w:b w:val="0"/>
          <w:i w:val="0"/>
          <w:sz w:val="15"/>
        </w:rPr>
        <w:t>[3] F. Schroff et al., "FaceNet: A unified embedding for face recognition and clustering," CVPR, 2015.</w:t>
      </w:r>
    </w:p>
    <w:p>
      <w:pPr>
        <w:spacing w:after="40" w:line="240" w:lineRule="auto"/>
      </w:pPr>
      <w:r>
        <w:rPr>
          <w:rFonts w:ascii="Times New Roman" w:hAnsi="Times New Roman"/>
          <w:b w:val="0"/>
          <w:i w:val="0"/>
          <w:sz w:val="15"/>
        </w:rPr>
        <w:t>[4] T. Baltrusaitis et al., "Multimodal machine learning: A survey and taxonomy," IEEE TPAMI, 2018.</w:t>
      </w:r>
    </w:p>
    <w:p>
      <w:pPr>
        <w:spacing w:after="40" w:line="240" w:lineRule="auto"/>
      </w:pPr>
      <w:r>
        <w:rPr>
          <w:rFonts w:ascii="Times New Roman" w:hAnsi="Times New Roman"/>
          <w:b w:val="0"/>
          <w:i w:val="0"/>
          <w:sz w:val="15"/>
        </w:rPr>
        <w:t>[5] A. Radford et al., "Learning transferable visual models from natural language supervision," ICML, 2021.</w:t>
      </w:r>
    </w:p>
    <w:p>
      <w:pPr>
        <w:spacing w:after="40" w:line="240" w:lineRule="auto"/>
      </w:pPr>
      <w:r>
        <w:rPr>
          <w:rFonts w:ascii="Times New Roman" w:hAnsi="Times New Roman"/>
          <w:b w:val="0"/>
          <w:i w:val="0"/>
          <w:sz w:val="15"/>
        </w:rPr>
        <w:t>[6] Y. Liang et al., "MSCTD: A multimodal sentiment chat translation dataset," ACL, 2022.</w:t>
      </w:r>
    </w:p>
    <w:p>
      <w:pPr>
        <w:spacing w:after="40" w:line="240" w:lineRule="auto"/>
      </w:pPr>
      <w:r>
        <w:rPr>
          <w:rFonts w:ascii="Times New Roman" w:hAnsi="Times New Roman"/>
          <w:b w:val="0"/>
          <w:i w:val="0"/>
          <w:sz w:val="15"/>
        </w:rPr>
        <w:t>[7] A. Dosovitskiy et al., "An image is worth 16x16 words," ICLR, 2021.</w:t>
      </w:r>
    </w:p>
    <w:p>
      <w:pPr>
        <w:spacing w:after="40" w:line="240" w:lineRule="auto"/>
      </w:pPr>
      <w:r>
        <w:rPr>
          <w:rFonts w:ascii="Times New Roman" w:hAnsi="Times New Roman"/>
          <w:b w:val="0"/>
          <w:i w:val="0"/>
          <w:sz w:val="15"/>
        </w:rPr>
        <w:t>[8] Z. Liu et al., "Swin Transformer," ICCV, 2021.</w:t>
      </w:r>
    </w:p>
    <w:p>
      <w:pPr>
        <w:spacing w:after="40" w:line="240" w:lineRule="auto"/>
      </w:pPr>
      <w:r>
        <w:rPr>
          <w:rFonts w:ascii="Times New Roman" w:hAnsi="Times New Roman"/>
          <w:b w:val="0"/>
          <w:i w:val="0"/>
          <w:sz w:val="15"/>
        </w:rPr>
        <w:t>[9] H. Tan and M. Bansal, "LXMERT," EMNLP, 2019.</w:t>
      </w:r>
    </w:p>
    <w:p>
      <w:pPr>
        <w:spacing w:after="40" w:line="240" w:lineRule="auto"/>
      </w:pPr>
      <w:r>
        <w:rPr>
          <w:rFonts w:ascii="Times New Roman" w:hAnsi="Times New Roman"/>
          <w:b w:val="0"/>
          <w:i w:val="0"/>
          <w:sz w:val="15"/>
        </w:rPr>
        <w:t>[10] J. Lei et al., "Less is more: ClipBERT," CVPR, 2021.</w:t>
      </w:r>
    </w:p>
    <w:sectPr w:rsidR="00FC693F" w:rsidRPr="0006063C" w:rsidSect="00034616">
      <w:type w:val="continuous"/>
      <w:pgSz w:w="12240" w:h="15840"/>
      <w:pgMar w:top="893" w:right="893" w:bottom="893"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