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17365D"/>
          <w:sz w:val="48"/>
        </w:rPr>
        <w:t>Multimodal Human Sentiment Analysis on MSCTD En-De</w:t>
      </w:r>
    </w:p>
    <w:p>
      <w:pPr>
        <w:jc w:val="center"/>
      </w:pPr>
      <w:r>
        <w:rPr>
          <w:rFonts w:ascii="Arial" w:hAnsi="Arial"/>
          <w:i/>
          <w:color w:val="52616B"/>
          <w:sz w:val="24"/>
        </w:rPr>
        <w:t>A reproducible study of face-level cues, full-image context, late fusion, robustness, and CLIP image-text modelling</w:t>
      </w:r>
    </w:p>
    <w:p>
      <w:pPr>
        <w:jc w:val="center"/>
      </w:pPr>
      <w:r>
        <w:rPr>
          <w:rFonts w:ascii="Arial" w:hAnsi="Arial"/>
          <w:b/>
          <w:color w:val="1F7A8C"/>
          <w:sz w:val="22"/>
        </w:rPr>
        <w:t>EEEM068 Applied Machine Learning | University of Surrey</w:t>
      </w:r>
    </w:p>
    <w:p>
      <w:pPr>
        <w:spacing w:before="80" w:after="160"/>
        <w:jc w:val="center"/>
      </w:pPr>
      <w:r>
        <w:drawing>
          <wp:inline xmlns:a="http://schemas.openxmlformats.org/drawingml/2006/main" xmlns:pic="http://schemas.openxmlformats.org/drawingml/2006/picture">
            <wp:extent cx="5897880" cy="1107776"/>
            <wp:docPr id="1" name="Picture 1"/>
            <wp:cNvGraphicFramePr>
              <a:graphicFrameLocks noChangeAspect="1"/>
            </wp:cNvGraphicFramePr>
            <a:graphic>
              <a:graphicData uri="http://schemas.openxmlformats.org/drawingml/2006/picture">
                <pic:pic>
                  <pic:nvPicPr>
                    <pic:cNvPr id="0" name="table_01.png"/>
                    <pic:cNvPicPr/>
                  </pic:nvPicPr>
                  <pic:blipFill>
                    <a:blip r:embed="rId10"/>
                    <a:stretch>
                      <a:fillRect/>
                    </a:stretch>
                  </pic:blipFill>
                  <pic:spPr>
                    <a:xfrm>
                      <a:off x="0" y="0"/>
                      <a:ext cx="5897880" cy="1107776"/>
                    </a:xfrm>
                    <a:prstGeom prst="rect"/>
                  </pic:spPr>
                </pic:pic>
              </a:graphicData>
            </a:graphic>
          </wp:inline>
        </w:drawing>
      </w:r>
    </w:p>
    <w:p>
      <w:pPr>
        <w:spacing w:after="120" w:line="259" w:lineRule="auto"/>
      </w:pPr>
      <w:r>
        <w:rPr>
          <w:rFonts w:ascii="Times New Roman" w:hAnsi="Times New Roman"/>
          <w:color w:val="1F2933"/>
          <w:sz w:val="21"/>
        </w:rPr>
        <w:t>This document is a full research-style rewrite produced from the executed notebooks, output files, weekly logs, report draft, and generated metrics in the project directory. Numerical claims are tied to saved artifacts rather than manually edited summaries.</w:t>
      </w:r>
    </w:p>
    <w:p>
      <w:r>
        <w:br w:type="page"/>
      </w:r>
    </w:p>
    <w:p>
      <w:pPr>
        <w:pStyle w:val="Heading1"/>
        <w:keepNext/>
      </w:pPr>
      <w:r>
        <w:t>Abstract</w:t>
      </w:r>
    </w:p>
    <w:p>
      <w:pPr>
        <w:spacing w:after="120" w:line="259" w:lineRule="auto"/>
      </w:pPr>
      <w:r>
        <w:rPr>
          <w:rFonts w:ascii="Times New Roman" w:hAnsi="Times New Roman"/>
          <w:color w:val="1F2933"/>
          <w:sz w:val="21"/>
        </w:rPr>
        <w:t>This report studies three-class sentiment classification on the English-German split of MSCTD, a multimodal dialogue corpus containing 30,370 utterance-image pairs across 3,079 scenes. The work evaluates whether still-image sentiment can be recovered from face crops, whole-frame scene context, late fusion of image-level probabilities, and an extra-credit image-text CLIP branch. The experimental design is deliberately staged: MTCNN extracts 43,768 face crops; a ResNet18 face classifier estimates expression-level sentiment; controlled brightness, spatial, and frequency degradations quantify robustness; a frozen ResNet50 backbone with an MLP head supplies full-image context; a compact fusion MLP combines face and image probabilities with face-count metadata; and a frozen CLIP ViT-B/32 model concatenates image and text embeddings for multimodal classification. The best purely visual models remain in a narrow macro-F1 band near 0.36-0.38, demonstrating a substantive visual ambiguity ceiling in MSCTD. Augmentation reduces the face-model degradation gap from 5.5 to 0.5 macro-F1 points. Late fusion does not improve overall macro-F1, but it produces a targeted negative-class F1 gain from 0.389 to 0.430, showing that face-count-aware routing is informative even when the global objective is not improved. The CLIP image-text model is the decisive result: it reaches 0.570 accuracy and 0.562 macro-F1, with every class above 0.5 F1. The conclusion is that visual and facial cues are useful but insufficient for dialogue sentiment; the utterance text carries essential sentiment information.</w:t>
      </w:r>
    </w:p>
    <w:p>
      <w:pPr>
        <w:spacing w:after="120" w:line="259" w:lineRule="auto"/>
      </w:pPr>
      <w:r>
        <w:rPr>
          <w:rFonts w:ascii="Times New Roman" w:hAnsi="Times New Roman"/>
          <w:color w:val="1F2933"/>
          <w:sz w:val="21"/>
        </w:rPr>
        <w:t>Keywords: MSCTD; multimodal sentiment analysis; MTCNN; ResNet; robustness; late fusion; CLIP; transfer learning.</w:t>
      </w:r>
    </w:p>
    <w:p>
      <w:pPr>
        <w:pStyle w:val="Heading1"/>
        <w:keepNext/>
      </w:pPr>
      <w:r>
        <w:t>1. Introduction</w:t>
      </w:r>
    </w:p>
    <w:p>
      <w:pPr>
        <w:spacing w:after="120" w:line="259" w:lineRule="auto"/>
      </w:pPr>
      <w:r>
        <w:rPr>
          <w:rFonts w:ascii="Times New Roman" w:hAnsi="Times New Roman"/>
          <w:color w:val="1F2933"/>
          <w:sz w:val="21"/>
        </w:rPr>
        <w:t>Sentiment classification from a single image is an intrinsically underdetermined problem. In dialogue data, the relevant affective evidence may be distributed across a face, a posture, the surrounding scene, or the spoken utterance. MSCTD is particularly suitable for studying this tension because each labelled sample is a film-dialogue utterance paired with a still frame and a three-way sentiment label: negative, neutral, or positive [1]. The English-German split used here contains 30,370 utterance-image pairs. The task is therefore not only to train classifiers, but also to determine which modality contains recoverable signal under realistic ambiguity.</w:t>
      </w:r>
    </w:p>
    <w:p>
      <w:pPr>
        <w:spacing w:after="120" w:line="259" w:lineRule="auto"/>
      </w:pPr>
      <w:r>
        <w:rPr>
          <w:rFonts w:ascii="Times New Roman" w:hAnsi="Times New Roman"/>
          <w:color w:val="1F2933"/>
          <w:sz w:val="21"/>
        </w:rPr>
        <w:t>The project is structured around four required stages and one extra-credit multimodal stage. The required visual pipeline first uses face detection and a face-based ResNet18 model, then measures robustness under controlled degradations, then trains a full-image frozen-backbone transfer model, and finally combines the visual streams with late fusion. The extra-credit branch introduces CLIP, allowing the English utterance to be used jointly with the image. Figure 1 summarises the resulting experimental design.</w:t>
      </w:r>
    </w:p>
    <w:p>
      <w:pPr>
        <w:jc w:val="center"/>
      </w:pPr>
      <w:r>
        <w:drawing>
          <wp:inline xmlns:a="http://schemas.openxmlformats.org/drawingml/2006/main" xmlns:pic="http://schemas.openxmlformats.org/drawingml/2006/picture">
            <wp:extent cx="6035040" cy="3285744"/>
            <wp:docPr id="2" name="Picture 2"/>
            <wp:cNvGraphicFramePr>
              <a:graphicFrameLocks noChangeAspect="1"/>
            </wp:cNvGraphicFramePr>
            <a:graphic>
              <a:graphicData uri="http://schemas.openxmlformats.org/drawingml/2006/picture">
                <pic:pic>
                  <pic:nvPicPr>
                    <pic:cNvPr id="0" name="pipeline_architecture.png"/>
                    <pic:cNvPicPr/>
                  </pic:nvPicPr>
                  <pic:blipFill>
                    <a:blip r:embed="rId11"/>
                    <a:stretch>
                      <a:fillRect/>
                    </a:stretch>
                  </pic:blipFill>
                  <pic:spPr>
                    <a:xfrm>
                      <a:off x="0" y="0"/>
                      <a:ext cx="6035040" cy="3285744"/>
                    </a:xfrm>
                    <a:prstGeom prst="rect"/>
                  </pic:spPr>
                </pic:pic>
              </a:graphicData>
            </a:graphic>
          </wp:inline>
        </w:drawing>
      </w:r>
    </w:p>
    <w:p>
      <w:pPr>
        <w:spacing w:before="20" w:after="160"/>
        <w:jc w:val="center"/>
      </w:pPr>
      <w:r>
        <w:rPr>
          <w:i/>
          <w:color w:val="52616B"/>
          <w:sz w:val="18"/>
        </w:rPr>
        <w:t>Figure 1. End-to-end experimental pipeline reconstructed from notebooks 01-07 and src/ modules.</w:t>
      </w:r>
    </w:p>
    <w:p>
      <w:pPr>
        <w:spacing w:after="120" w:line="259" w:lineRule="auto"/>
      </w:pPr>
      <w:r>
        <w:rPr>
          <w:rFonts w:ascii="Times New Roman" w:hAnsi="Times New Roman"/>
          <w:color w:val="1F2933"/>
          <w:sz w:val="21"/>
        </w:rPr>
        <w:t>The central research question is whether adding more visual structure is enough to resolve sentiment ambiguity, or whether the text modality is necessary. The answer from the saved results is clear: the visual models learn real signal above the majority-class baseline, but they remain close to a unimodal ceiling. The CLIP branch breaks that ceiling because it receives lexical sentiment evidence directly.</w:t>
      </w:r>
    </w:p>
    <w:p>
      <w:pPr>
        <w:pStyle w:val="ListBullet"/>
        <w:spacing w:after="60"/>
      </w:pPr>
      <w:r>
        <w:rPr>
          <w:rFonts w:ascii="Times New Roman" w:hAnsi="Times New Roman"/>
          <w:color w:val="1F2933"/>
          <w:sz w:val="20"/>
        </w:rPr>
        <w:t>A scene-level split prevents dialogue leakage between train, validation, and test partitions.</w:t>
      </w:r>
    </w:p>
    <w:p>
      <w:pPr>
        <w:pStyle w:val="ListBullet"/>
        <w:spacing w:after="60"/>
      </w:pPr>
      <w:r>
        <w:rPr>
          <w:rFonts w:ascii="Times New Roman" w:hAnsi="Times New Roman"/>
          <w:color w:val="1F2933"/>
          <w:sz w:val="20"/>
        </w:rPr>
        <w:t>Face extraction is explicitly audited for no-face and multi-face cases rather than assumed to be complete.</w:t>
      </w:r>
    </w:p>
    <w:p>
      <w:pPr>
        <w:pStyle w:val="ListBullet"/>
        <w:spacing w:after="60"/>
      </w:pPr>
      <w:r>
        <w:rPr>
          <w:rFonts w:ascii="Times New Roman" w:hAnsi="Times New Roman"/>
          <w:color w:val="1F2933"/>
          <w:sz w:val="20"/>
        </w:rPr>
        <w:t>Robustness is evaluated through controlled frequency, spatial, and brightness degradations.</w:t>
      </w:r>
    </w:p>
    <w:p>
      <w:pPr>
        <w:pStyle w:val="ListBullet"/>
        <w:spacing w:after="60"/>
      </w:pPr>
      <w:r>
        <w:rPr>
          <w:rFonts w:ascii="Times New Roman" w:hAnsi="Times New Roman"/>
          <w:color w:val="1F2933"/>
          <w:sz w:val="20"/>
        </w:rPr>
        <w:t>Fusion is interpreted by per-class and per-regime behavior, not only by its overall macro-F1.</w:t>
      </w:r>
    </w:p>
    <w:p>
      <w:pPr>
        <w:pStyle w:val="ListBullet"/>
        <w:spacing w:after="60"/>
      </w:pPr>
      <w:r>
        <w:rPr>
          <w:rFonts w:ascii="Times New Roman" w:hAnsi="Times New Roman"/>
          <w:color w:val="1F2933"/>
          <w:sz w:val="20"/>
        </w:rPr>
        <w:t>The CLIP section is treated as a full multimodal experiment with architecture, stability, ablation, and error analysis.</w:t>
      </w:r>
    </w:p>
    <w:p>
      <w:pPr>
        <w:pStyle w:val="Heading1"/>
        <w:keepNext/>
      </w:pPr>
      <w:r>
        <w:t>2. Related Work</w:t>
      </w:r>
    </w:p>
    <w:p>
      <w:pPr>
        <w:spacing w:after="120" w:line="259" w:lineRule="auto"/>
      </w:pPr>
      <w:r>
        <w:rPr>
          <w:rFonts w:ascii="Times New Roman" w:hAnsi="Times New Roman"/>
          <w:color w:val="1F2933"/>
          <w:sz w:val="21"/>
        </w:rPr>
        <w:t>Residual networks provide the convolutional foundation for both the face and full-image branches. ResNet introduced identity skip connections that enable much deeper CNNs to be trained effectively [3]. ResNet18 is a conservative choice for cropped faces because the visual field is narrow, while ResNet50 provides a stronger frozen representation for full-frame scene context. Transformer-based image models, including ViT [6] and Swin Transformer [7], are relevant alternatives, but the weekly logs report a frozen ViT-B/16 ablation that underperformed the ResNet50 head by approximately 1.3 macro-F1 points while increasing CPU cost.</w:t>
      </w:r>
    </w:p>
    <w:p>
      <w:pPr>
        <w:spacing w:after="120" w:line="259" w:lineRule="auto"/>
      </w:pPr>
      <w:r>
        <w:rPr>
          <w:rFonts w:ascii="Times New Roman" w:hAnsi="Times New Roman"/>
          <w:color w:val="1F2933"/>
          <w:sz w:val="21"/>
        </w:rPr>
        <w:t>Face detection is handled by MTCNN, a cascade of proposal, refinement, and output networks for joint face detection and alignment [2]. This choice is operationally appropriate because it is available through facenet-pytorch and gives crop-level face detections without training a detector from scratch. FaceNet [10] is also relevant as a historical face-embedding baseline, although this project trains a direct sentiment classifier rather than a verification embedding.</w:t>
      </w:r>
    </w:p>
    <w:p>
      <w:pPr>
        <w:spacing w:after="120" w:line="259" w:lineRule="auto"/>
      </w:pPr>
      <w:r>
        <w:rPr>
          <w:rFonts w:ascii="Times New Roman" w:hAnsi="Times New Roman"/>
          <w:color w:val="1F2933"/>
          <w:sz w:val="21"/>
        </w:rPr>
        <w:t>The multimodal literature frames the main methodological choice as alignment and fusion [4]. Late fusion is simple and robust when modalities can be missing, as occurs when no face is detected. CLIP provides a stronger extra-credit alternative because it learns aligned image and text representations from large-scale contrastive pretraining [5]. Cross-attention systems such as LXMERT [8] and ClipBERT [9] offer more expressive fusion, but they are heavier and less stable under the CPU-first constraints documented in the project logs.</w:t>
      </w:r>
    </w:p>
    <w:p>
      <w:pPr>
        <w:pStyle w:val="Heading1"/>
        <w:keepNext/>
      </w:pPr>
      <w:r>
        <w:t>3. Dataset and Reproducibility Protocol</w:t>
      </w:r>
    </w:p>
    <w:p>
      <w:pPr>
        <w:spacing w:after="120" w:line="259" w:lineRule="auto"/>
      </w:pPr>
      <w:r>
        <w:rPr>
          <w:rFonts w:ascii="Times New Roman" w:hAnsi="Times New Roman"/>
          <w:color w:val="1F2933"/>
          <w:sz w:val="21"/>
        </w:rPr>
        <w:t>The raw MSCTD English-German files were parsed into one utterance-image row per sample. Scene identifiers were preserved so that all utterances from the same dialogue scene remain in a single partition. This is a crucial validity decision: if utterances from the same scene entered both train and test sets, the visual background and dialogue context would leak across partitions.</w:t>
      </w:r>
    </w:p>
    <w:p>
      <w:pPr>
        <w:spacing w:before="80" w:after="160"/>
        <w:jc w:val="center"/>
      </w:pPr>
      <w:r>
        <w:drawing>
          <wp:inline xmlns:a="http://schemas.openxmlformats.org/drawingml/2006/main" xmlns:pic="http://schemas.openxmlformats.org/drawingml/2006/picture">
            <wp:extent cx="5897880" cy="779546"/>
            <wp:docPr id="3" name="Picture 3"/>
            <wp:cNvGraphicFramePr>
              <a:graphicFrameLocks noChangeAspect="1"/>
            </wp:cNvGraphicFramePr>
            <a:graphic>
              <a:graphicData uri="http://schemas.openxmlformats.org/drawingml/2006/picture">
                <pic:pic>
                  <pic:nvPicPr>
                    <pic:cNvPr id="0" name="table_02.png"/>
                    <pic:cNvPicPr/>
                  </pic:nvPicPr>
                  <pic:blipFill>
                    <a:blip r:embed="rId12"/>
                    <a:stretch>
                      <a:fillRect/>
                    </a:stretch>
                  </pic:blipFill>
                  <pic:spPr>
                    <a:xfrm>
                      <a:off x="0" y="0"/>
                      <a:ext cx="5897880" cy="779546"/>
                    </a:xfrm>
                    <a:prstGeom prst="rect"/>
                  </pic:spPr>
                </pic:pic>
              </a:graphicData>
            </a:graphic>
          </wp:inline>
        </w:drawing>
      </w:r>
    </w:p>
    <w:p>
      <w:pPr>
        <w:spacing w:after="120" w:line="259" w:lineRule="auto"/>
      </w:pPr>
      <w:r>
        <w:rPr>
          <w:rFonts w:ascii="Times New Roman" w:hAnsi="Times New Roman"/>
          <w:color w:val="1F2933"/>
          <w:sz w:val="21"/>
        </w:rPr>
        <w:t>The full processed dataset contains 30,370 rows. Neutral is the largest class (39.0%), followed by negative (32.9%) and positive (28.1%). This imbalance is moderate rather than extreme, but it is large enough that macro-F1 is the primary metric and inverse-frequency class weights are used in the neural classifiers.</w:t>
      </w:r>
    </w:p>
    <w:p>
      <w:pPr>
        <w:jc w:val="center"/>
      </w:pPr>
      <w:r>
        <w:drawing>
          <wp:inline xmlns:a="http://schemas.openxmlformats.org/drawingml/2006/main" xmlns:pic="http://schemas.openxmlformats.org/drawingml/2006/picture">
            <wp:extent cx="5212080" cy="3605908"/>
            <wp:docPr id="4" name="Picture 4"/>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5212080" cy="3605908"/>
                    </a:xfrm>
                    <a:prstGeom prst="rect"/>
                  </pic:spPr>
                </pic:pic>
              </a:graphicData>
            </a:graphic>
          </wp:inline>
        </w:drawing>
      </w:r>
    </w:p>
    <w:p>
      <w:pPr>
        <w:spacing w:before="20" w:after="160"/>
        <w:jc w:val="center"/>
      </w:pPr>
      <w:r>
        <w:rPr>
          <w:i/>
          <w:color w:val="52616B"/>
          <w:sz w:val="18"/>
        </w:rPr>
        <w:t>Figure 2. Overall sentiment distribution generated by notebook 01.</w:t>
      </w:r>
    </w:p>
    <w:p>
      <w:pPr>
        <w:jc w:val="center"/>
      </w:pPr>
      <w:r>
        <w:drawing>
          <wp:inline xmlns:a="http://schemas.openxmlformats.org/drawingml/2006/main" xmlns:pic="http://schemas.openxmlformats.org/drawingml/2006/picture">
            <wp:extent cx="5669280" cy="3478668"/>
            <wp:docPr id="5" name="Picture 5"/>
            <wp:cNvGraphicFramePr>
              <a:graphicFrameLocks noChangeAspect="1"/>
            </wp:cNvGraphicFramePr>
            <a:graphic>
              <a:graphicData uri="http://schemas.openxmlformats.org/drawingml/2006/picture">
                <pic:pic>
                  <pic:nvPicPr>
                    <pic:cNvPr id="0" name="sample_images_per_class.png"/>
                    <pic:cNvPicPr/>
                  </pic:nvPicPr>
                  <pic:blipFill>
                    <a:blip r:embed="rId14"/>
                    <a:stretch>
                      <a:fillRect/>
                    </a:stretch>
                  </pic:blipFill>
                  <pic:spPr>
                    <a:xfrm>
                      <a:off x="0" y="0"/>
                      <a:ext cx="5669280" cy="3478668"/>
                    </a:xfrm>
                    <a:prstGeom prst="rect"/>
                  </pic:spPr>
                </pic:pic>
              </a:graphicData>
            </a:graphic>
          </wp:inline>
        </w:drawing>
      </w:r>
    </w:p>
    <w:p>
      <w:pPr>
        <w:spacing w:before="20" w:after="160"/>
        <w:jc w:val="center"/>
      </w:pPr>
      <w:r>
        <w:rPr>
          <w:i/>
          <w:color w:val="52616B"/>
          <w:sz w:val="18"/>
        </w:rPr>
        <w:t>Figure 3. Random examples per sentiment class. Visual ambiguity is common even when labels differ.</w:t>
      </w:r>
    </w:p>
    <w:p>
      <w:pPr>
        <w:pStyle w:val="Heading1"/>
        <w:keepNext/>
      </w:pPr>
      <w:r>
        <w:t>4. Methodology</w:t>
      </w:r>
    </w:p>
    <w:p>
      <w:pPr>
        <w:pStyle w:val="Heading2"/>
        <w:keepNext/>
      </w:pPr>
      <w:r>
        <w:t>4.1 Face Extraction and Face-Based Classification</w:t>
      </w:r>
    </w:p>
    <w:p>
      <w:pPr>
        <w:spacing w:after="120" w:line="259" w:lineRule="auto"/>
      </w:pPr>
      <w:r>
        <w:rPr>
          <w:rFonts w:ascii="Times New Roman" w:hAnsi="Times New Roman"/>
          <w:color w:val="1F2933"/>
          <w:sz w:val="21"/>
        </w:rPr>
        <w:t>MTCNN produced 43,768 face crops across the processed corpus. The project-level coverage is 25,828 images with at least one detected face (85.0%), 4,542 with no detected face (15.0%), and 9,540 with two or more faces (31.4%). On the test split specifically, 3,823 of 4,431 images have at least one detected face (86.3%), 608 have none (13.7%), and 1,458 contain multiple detected faces (32.9%).</w:t>
      </w:r>
    </w:p>
    <w:p>
      <w:pPr>
        <w:spacing w:after="120" w:line="259" w:lineRule="auto"/>
      </w:pPr>
      <w:r>
        <w:rPr>
          <w:rFonts w:ascii="Times New Roman" w:hAnsi="Times New Roman"/>
          <w:color w:val="1F2933"/>
          <w:sz w:val="21"/>
        </w:rPr>
        <w:t>Each detected face is saved as an independent crop and inherits the image-level sentiment label. A ResNet18 initialized with ImageNet weights is fine-tuned end-to-end on these crops. At image-level inference, multiple face predictions are averaged as softmax probabilities. If no face is detected, the fusion feature table supplies a training-prior probability vector and a binary face_detected_flag of zero. This prevents missing values while allowing the fusion model to identify the missing-modality condition.</w:t>
      </w:r>
    </w:p>
    <w:p>
      <w:pPr>
        <w:jc w:val="center"/>
      </w:pPr>
      <w:r>
        <w:drawing>
          <wp:inline xmlns:a="http://schemas.openxmlformats.org/drawingml/2006/main" xmlns:pic="http://schemas.openxmlformats.org/drawingml/2006/picture">
            <wp:extent cx="5303520" cy="1693016"/>
            <wp:docPr id="6" name="Picture 6"/>
            <wp:cNvGraphicFramePr>
              <a:graphicFrameLocks noChangeAspect="1"/>
            </wp:cNvGraphicFramePr>
            <a:graphic>
              <a:graphicData uri="http://schemas.openxmlformats.org/drawingml/2006/picture">
                <pic:pic>
                  <pic:nvPicPr>
                    <pic:cNvPr id="0" name="face_stats.png"/>
                    <pic:cNvPicPr/>
                  </pic:nvPicPr>
                  <pic:blipFill>
                    <a:blip r:embed="rId15"/>
                    <a:stretch>
                      <a:fillRect/>
                    </a:stretch>
                  </pic:blipFill>
                  <pic:spPr>
                    <a:xfrm>
                      <a:off x="0" y="0"/>
                      <a:ext cx="5303520" cy="1693016"/>
                    </a:xfrm>
                    <a:prstGeom prst="rect"/>
                  </pic:spPr>
                </pic:pic>
              </a:graphicData>
            </a:graphic>
          </wp:inline>
        </w:drawing>
      </w:r>
    </w:p>
    <w:p>
      <w:pPr>
        <w:spacing w:before="20" w:after="160"/>
        <w:jc w:val="center"/>
      </w:pPr>
      <w:r>
        <w:rPr>
          <w:i/>
          <w:color w:val="52616B"/>
          <w:sz w:val="18"/>
        </w:rPr>
        <w:t>Figure 4. Face-count and detection-confidence statistics from notebook 02.</w:t>
      </w:r>
    </w:p>
    <w:p>
      <w:pPr>
        <w:jc w:val="center"/>
      </w:pPr>
      <w:r>
        <w:drawing>
          <wp:inline xmlns:a="http://schemas.openxmlformats.org/drawingml/2006/main" xmlns:pic="http://schemas.openxmlformats.org/drawingml/2006/picture">
            <wp:extent cx="5669280" cy="3073149"/>
            <wp:docPr id="7" name="Picture 7"/>
            <wp:cNvGraphicFramePr>
              <a:graphicFrameLocks noChangeAspect="1"/>
            </wp:cNvGraphicFramePr>
            <a:graphic>
              <a:graphicData uri="http://schemas.openxmlformats.org/drawingml/2006/picture">
                <pic:pic>
                  <pic:nvPicPr>
                    <pic:cNvPr id="0" name="face_detection_examples.png"/>
                    <pic:cNvPicPr/>
                  </pic:nvPicPr>
                  <pic:blipFill>
                    <a:blip r:embed="rId16"/>
                    <a:stretch>
                      <a:fillRect/>
                    </a:stretch>
                  </pic:blipFill>
                  <pic:spPr>
                    <a:xfrm>
                      <a:off x="0" y="0"/>
                      <a:ext cx="5669280" cy="3073149"/>
                    </a:xfrm>
                    <a:prstGeom prst="rect"/>
                  </pic:spPr>
                </pic:pic>
              </a:graphicData>
            </a:graphic>
          </wp:inline>
        </w:drawing>
      </w:r>
    </w:p>
    <w:p>
      <w:pPr>
        <w:spacing w:before="20" w:after="160"/>
        <w:jc w:val="center"/>
      </w:pPr>
      <w:r>
        <w:rPr>
          <w:i/>
          <w:color w:val="52616B"/>
          <w:sz w:val="18"/>
        </w:rPr>
        <w:t>Figure 5. MTCNN detection examples used as visual sanity checks.</w:t>
      </w:r>
    </w:p>
    <w:p>
      <w:pPr>
        <w:pStyle w:val="Heading2"/>
        <w:keepNext/>
      </w:pPr>
      <w:r>
        <w:t>4.2 Robustness and Augmentation</w:t>
      </w:r>
    </w:p>
    <w:p>
      <w:pPr>
        <w:spacing w:after="120" w:line="259" w:lineRule="auto"/>
      </w:pPr>
      <w:r>
        <w:rPr>
          <w:rFonts w:ascii="Times New Roman" w:hAnsi="Times New Roman"/>
          <w:color w:val="1F2933"/>
          <w:sz w:val="21"/>
        </w:rPr>
        <w:t>The robustness study defines three degradation families. Brightness perturbations alter brightness and contrast; spatial perturbations rotate, translate, crop, and flip; frequency perturbations apply Gaussian blur, JPEG recompression, and Gaussian noise. The experiments are controlled as follows: A trains and tests on original faces, B trains on original faces and tests on degraded faces, and C trains with mixed original/degraded augmentation and evaluates on both original and degraded faces. The p_degrade value of 0.5 was selected after a sweep in the weekly logs: 0.25 did not close the robustness gap, while 0.75 degraded clean-test performance.</w:t>
      </w:r>
    </w:p>
    <w:p>
      <w:pPr>
        <w:jc w:val="center"/>
      </w:pPr>
      <w:r>
        <w:drawing>
          <wp:inline xmlns:a="http://schemas.openxmlformats.org/drawingml/2006/main" xmlns:pic="http://schemas.openxmlformats.org/drawingml/2006/picture">
            <wp:extent cx="5852160" cy="4241065"/>
            <wp:docPr id="8" name="Picture 8"/>
            <wp:cNvGraphicFramePr>
              <a:graphicFrameLocks noChangeAspect="1"/>
            </wp:cNvGraphicFramePr>
            <a:graphic>
              <a:graphicData uri="http://schemas.openxmlformats.org/drawingml/2006/picture">
                <pic:pic>
                  <pic:nvPicPr>
                    <pic:cNvPr id="0" name="augmentation_examples.png"/>
                    <pic:cNvPicPr/>
                  </pic:nvPicPr>
                  <pic:blipFill>
                    <a:blip r:embed="rId17"/>
                    <a:stretch>
                      <a:fillRect/>
                    </a:stretch>
                  </pic:blipFill>
                  <pic:spPr>
                    <a:xfrm>
                      <a:off x="0" y="0"/>
                      <a:ext cx="5852160" cy="4241065"/>
                    </a:xfrm>
                    <a:prstGeom prst="rect"/>
                  </pic:spPr>
                </pic:pic>
              </a:graphicData>
            </a:graphic>
          </wp:inline>
        </w:drawing>
      </w:r>
    </w:p>
    <w:p>
      <w:pPr>
        <w:spacing w:before="20" w:after="160"/>
        <w:jc w:val="center"/>
      </w:pPr>
      <w:r>
        <w:rPr>
          <w:i/>
          <w:color w:val="52616B"/>
          <w:sz w:val="18"/>
        </w:rPr>
        <w:t>Figure 6. Brightness, spatial, and frequency degradation examples from notebook 04.</w:t>
      </w:r>
    </w:p>
    <w:p>
      <w:pPr>
        <w:pStyle w:val="Heading2"/>
        <w:keepNext/>
      </w:pPr>
      <w:r>
        <w:t>4.3 Full-Image Transfer Learning</w:t>
      </w:r>
    </w:p>
    <w:p>
      <w:pPr>
        <w:spacing w:after="120" w:line="259" w:lineRule="auto"/>
      </w:pPr>
      <w:r>
        <w:rPr>
          <w:rFonts w:ascii="Times New Roman" w:hAnsi="Times New Roman"/>
          <w:color w:val="1F2933"/>
          <w:sz w:val="21"/>
        </w:rPr>
        <w:t>The full-image branch processes the complete frame at 224x224 resolution. A ResNet50 pretrained on ImageNet is used as a frozen feature extractor; only a two-hidden-layer MLP head is trainable. Freezing the backbone satisfies the project constraint and reduces overfitting risk under CPU-first training. The branch is expected to capture body posture, lighting, props, and scene configuration that are unavailable to the face crop model.</w:t>
      </w:r>
    </w:p>
    <w:p>
      <w:pPr>
        <w:pStyle w:val="Heading2"/>
        <w:keepNext/>
      </w:pPr>
      <w:r>
        <w:t>4.4 Late Fusion</w:t>
      </w:r>
    </w:p>
    <w:p>
      <w:pPr>
        <w:spacing w:after="120" w:line="259" w:lineRule="auto"/>
      </w:pPr>
      <w:r>
        <w:rPr>
          <w:rFonts w:ascii="Times New Roman" w:hAnsi="Times New Roman"/>
          <w:color w:val="1F2933"/>
          <w:sz w:val="21"/>
        </w:rPr>
        <w:t>The fusion MLP uses an eight-dimensional feature vector: three face softmax probabilities, three full-image softmax probabilities, num_faces_norm, and face_detected_flag. The count feature is capped and normalized to [0, 1]. This design is deliberately small: the goal is not to learn a new visual representation, but to learn a conditional weighting over two already trained streams. The key analytical question is therefore whether the MLP changes behavior in identifiable regimes such as no-face, single-face, and multi-face images.</w:t>
      </w:r>
    </w:p>
    <w:p>
      <w:pPr>
        <w:pStyle w:val="Heading2"/>
        <w:keepNext/>
      </w:pPr>
      <w:r>
        <w:t>4.5 Extra Credit: CLIP Image-Text Modelling</w:t>
      </w:r>
    </w:p>
    <w:p>
      <w:pPr>
        <w:spacing w:after="120" w:line="259" w:lineRule="auto"/>
      </w:pPr>
      <w:r>
        <w:rPr>
          <w:rFonts w:ascii="Times New Roman" w:hAnsi="Times New Roman"/>
          <w:color w:val="1F2933"/>
          <w:sz w:val="21"/>
        </w:rPr>
        <w:t>The extra-credit model uses openai/clip-vit-base-patch32. The image encoder and text encoder are frozen, producing two 512-dimensional embeddings that are concatenated and passed to a small MLP classifier. Only 295,683 parameters are trainable out of 151,572,996 total parameters. This keeps the experiment stable and makes the result reproducible on the local CPU workflow. An optional second stage unfreezing the last transformer block at learning rate 1e-5 was implemented; the weekly logs report a one-epoch smoke test with a small validation drop, so the final report retains the frozen-encoder stage as the selected model.</w:t>
      </w:r>
    </w:p>
    <w:p>
      <w:pPr>
        <w:jc w:val="center"/>
      </w:pPr>
      <w:r>
        <w:drawing>
          <wp:inline xmlns:a="http://schemas.openxmlformats.org/drawingml/2006/main" xmlns:pic="http://schemas.openxmlformats.org/drawingml/2006/picture">
            <wp:extent cx="5760720" cy="2624328"/>
            <wp:docPr id="9" name="Picture 9"/>
            <wp:cNvGraphicFramePr>
              <a:graphicFrameLocks noChangeAspect="1"/>
            </wp:cNvGraphicFramePr>
            <a:graphic>
              <a:graphicData uri="http://schemas.openxmlformats.org/drawingml/2006/picture">
                <pic:pic>
                  <pic:nvPicPr>
                    <pic:cNvPr id="0" name="clip_architecture.png"/>
                    <pic:cNvPicPr/>
                  </pic:nvPicPr>
                  <pic:blipFill>
                    <a:blip r:embed="rId18"/>
                    <a:stretch>
                      <a:fillRect/>
                    </a:stretch>
                  </pic:blipFill>
                  <pic:spPr>
                    <a:xfrm>
                      <a:off x="0" y="0"/>
                      <a:ext cx="5760720" cy="2624328"/>
                    </a:xfrm>
                    <a:prstGeom prst="rect"/>
                  </pic:spPr>
                </pic:pic>
              </a:graphicData>
            </a:graphic>
          </wp:inline>
        </w:drawing>
      </w:r>
    </w:p>
    <w:p>
      <w:pPr>
        <w:spacing w:before="20" w:after="160"/>
        <w:jc w:val="center"/>
      </w:pPr>
      <w:r>
        <w:rPr>
          <w:i/>
          <w:color w:val="52616B"/>
          <w:sz w:val="18"/>
        </w:rPr>
        <w:t>Figure 7. CLIP extra-credit architecture. Both encoders are frozen; only the classifier head is trained.</w:t>
      </w:r>
    </w:p>
    <w:p>
      <w:pPr>
        <w:pStyle w:val="Heading1"/>
        <w:keepNext/>
      </w:pPr>
      <w:r>
        <w:t>5. Experimental Setup</w:t>
      </w:r>
    </w:p>
    <w:p>
      <w:pPr>
        <w:spacing w:after="120" w:line="259" w:lineRule="auto"/>
      </w:pPr>
      <w:r>
        <w:rPr>
          <w:rFonts w:ascii="Times New Roman" w:hAnsi="Times New Roman"/>
          <w:color w:val="1F2933"/>
          <w:sz w:val="21"/>
        </w:rPr>
        <w:t>All notebooks use seed_everything(42), CPU device selection, num_workers=0, and deterministic data plumbing. The model checkpoints and prediction CSVs are saved under outputs/, so the fusion and report-generation steps consume fixed artifacts rather than retraining upstream models. AdamW is used throughout, with cosine scheduling, gradient clipping at 1.0, and early stopping on validation loss. The exact epoch counts differ by branch because the computational units differ: face models operate on 43,768 crops, whereas full-image, fusion, and CLIP models operate on 30,370 image-level rows.</w:t>
      </w:r>
    </w:p>
    <w:p>
      <w:pPr>
        <w:spacing w:before="80" w:after="160"/>
        <w:jc w:val="center"/>
      </w:pPr>
      <w:r>
        <w:drawing>
          <wp:inline xmlns:a="http://schemas.openxmlformats.org/drawingml/2006/main" xmlns:pic="http://schemas.openxmlformats.org/drawingml/2006/picture">
            <wp:extent cx="5897880" cy="1107776"/>
            <wp:docPr id="10" name="Picture 10"/>
            <wp:cNvGraphicFramePr>
              <a:graphicFrameLocks noChangeAspect="1"/>
            </wp:cNvGraphicFramePr>
            <a:graphic>
              <a:graphicData uri="http://schemas.openxmlformats.org/drawingml/2006/picture">
                <pic:pic>
                  <pic:nvPicPr>
                    <pic:cNvPr id="0" name="table_03.png"/>
                    <pic:cNvPicPr/>
                  </pic:nvPicPr>
                  <pic:blipFill>
                    <a:blip r:embed="rId19"/>
                    <a:stretch>
                      <a:fillRect/>
                    </a:stretch>
                  </pic:blipFill>
                  <pic:spPr>
                    <a:xfrm>
                      <a:off x="0" y="0"/>
                      <a:ext cx="5897880" cy="1107776"/>
                    </a:xfrm>
                    <a:prstGeom prst="rect"/>
                  </pic:spPr>
                </pic:pic>
              </a:graphicData>
            </a:graphic>
          </wp:inline>
        </w:drawing>
      </w:r>
    </w:p>
    <w:p>
      <w:pPr>
        <w:pStyle w:val="Heading1"/>
        <w:keepNext/>
      </w:pPr>
      <w:r>
        <w:t>6. Results</w:t>
      </w:r>
    </w:p>
    <w:p>
      <w:pPr>
        <w:pStyle w:val="Heading2"/>
        <w:keepNext/>
      </w:pPr>
      <w:r>
        <w:t>6.1 Final Model Comparison</w:t>
      </w:r>
    </w:p>
    <w:p>
      <w:pPr>
        <w:spacing w:before="80" w:after="160"/>
        <w:jc w:val="center"/>
      </w:pPr>
      <w:r>
        <w:drawing>
          <wp:inline xmlns:a="http://schemas.openxmlformats.org/drawingml/2006/main" xmlns:pic="http://schemas.openxmlformats.org/drawingml/2006/picture">
            <wp:extent cx="5897880" cy="1764235"/>
            <wp:docPr id="11" name="Picture 11"/>
            <wp:cNvGraphicFramePr>
              <a:graphicFrameLocks noChangeAspect="1"/>
            </wp:cNvGraphicFramePr>
            <a:graphic>
              <a:graphicData uri="http://schemas.openxmlformats.org/drawingml/2006/picture">
                <pic:pic>
                  <pic:nvPicPr>
                    <pic:cNvPr id="0" name="table_04.png"/>
                    <pic:cNvPicPr/>
                  </pic:nvPicPr>
                  <pic:blipFill>
                    <a:blip r:embed="rId20"/>
                    <a:stretch>
                      <a:fillRect/>
                    </a:stretch>
                  </pic:blipFill>
                  <pic:spPr>
                    <a:xfrm>
                      <a:off x="0" y="0"/>
                      <a:ext cx="5897880" cy="1764235"/>
                    </a:xfrm>
                    <a:prstGeom prst="rect"/>
                  </pic:spPr>
                </pic:pic>
              </a:graphicData>
            </a:graphic>
          </wp:inline>
        </w:drawing>
      </w:r>
    </w:p>
    <w:p>
      <w:pPr>
        <w:spacing w:after="120" w:line="259" w:lineRule="auto"/>
      </w:pPr>
      <w:r>
        <w:rPr>
          <w:rFonts w:ascii="Times New Roman" w:hAnsi="Times New Roman"/>
          <w:color w:val="1F2933"/>
          <w:sz w:val="21"/>
        </w:rPr>
        <w:t>The face crop-level metric is useful for evaluating the face classifier as trained, but it should not be treated as perfectly comparable with image-level rows. For this reason, the table adds an image-level aggregated face row computed from fusion_features.csv. The broad conclusion is unchanged: purely visual branches cluster near 0.36-0.38 macro-F1, whereas CLIP reaches 0.562 macro-F1.</w:t>
      </w:r>
    </w:p>
    <w:p>
      <w:pPr>
        <w:jc w:val="center"/>
      </w:pPr>
      <w:r>
        <w:drawing>
          <wp:inline xmlns:a="http://schemas.openxmlformats.org/drawingml/2006/main" xmlns:pic="http://schemas.openxmlformats.org/drawingml/2006/picture">
            <wp:extent cx="5852160" cy="3413760"/>
            <wp:docPr id="12" name="Picture 12"/>
            <wp:cNvGraphicFramePr>
              <a:graphicFrameLocks noChangeAspect="1"/>
            </wp:cNvGraphicFramePr>
            <a:graphic>
              <a:graphicData uri="http://schemas.openxmlformats.org/drawingml/2006/picture">
                <pic:pic>
                  <pic:nvPicPr>
                    <pic:cNvPr id="0" name="macro_f1_comparison_with_clip.png"/>
                    <pic:cNvPicPr/>
                  </pic:nvPicPr>
                  <pic:blipFill>
                    <a:blip r:embed="rId21"/>
                    <a:stretch>
                      <a:fillRect/>
                    </a:stretch>
                  </pic:blipFill>
                  <pic:spPr>
                    <a:xfrm>
                      <a:off x="0" y="0"/>
                      <a:ext cx="5852160" cy="3413760"/>
                    </a:xfrm>
                    <a:prstGeom prst="rect"/>
                  </pic:spPr>
                </pic:pic>
              </a:graphicData>
            </a:graphic>
          </wp:inline>
        </w:drawing>
      </w:r>
    </w:p>
    <w:p>
      <w:pPr>
        <w:spacing w:before="20" w:after="160"/>
        <w:jc w:val="center"/>
      </w:pPr>
      <w:r>
        <w:rPr>
          <w:i/>
          <w:color w:val="52616B"/>
          <w:sz w:val="18"/>
        </w:rPr>
        <w:t>Figure 8. Corrected macro-F1 comparison including the saved CLIP metrics.</w:t>
      </w:r>
    </w:p>
    <w:p>
      <w:pPr>
        <w:pStyle w:val="Heading2"/>
        <w:keepNext/>
      </w:pPr>
      <w:r>
        <w:t>6.2 Robustness Results</w:t>
      </w:r>
    </w:p>
    <w:p>
      <w:pPr>
        <w:spacing w:before="80" w:after="160"/>
        <w:jc w:val="center"/>
      </w:pPr>
      <w:r>
        <w:drawing>
          <wp:inline xmlns:a="http://schemas.openxmlformats.org/drawingml/2006/main" xmlns:pic="http://schemas.openxmlformats.org/drawingml/2006/picture">
            <wp:extent cx="5897880" cy="943661"/>
            <wp:docPr id="13" name="Picture 13"/>
            <wp:cNvGraphicFramePr>
              <a:graphicFrameLocks noChangeAspect="1"/>
            </wp:cNvGraphicFramePr>
            <a:graphic>
              <a:graphicData uri="http://schemas.openxmlformats.org/drawingml/2006/picture">
                <pic:pic>
                  <pic:nvPicPr>
                    <pic:cNvPr id="0" name="table_05.png"/>
                    <pic:cNvPicPr/>
                  </pic:nvPicPr>
                  <pic:blipFill>
                    <a:blip r:embed="rId22"/>
                    <a:stretch>
                      <a:fillRect/>
                    </a:stretch>
                  </pic:blipFill>
                  <pic:spPr>
                    <a:xfrm>
                      <a:off x="0" y="0"/>
                      <a:ext cx="5897880" cy="943661"/>
                    </a:xfrm>
                    <a:prstGeom prst="rect"/>
                  </pic:spPr>
                </pic:pic>
              </a:graphicData>
            </a:graphic>
          </wp:inline>
        </w:drawing>
      </w:r>
    </w:p>
    <w:p>
      <w:pPr>
        <w:spacing w:after="120" w:line="259" w:lineRule="auto"/>
      </w:pPr>
      <w:r>
        <w:rPr>
          <w:rFonts w:ascii="Times New Roman" w:hAnsi="Times New Roman"/>
          <w:color w:val="1F2933"/>
          <w:sz w:val="21"/>
        </w:rPr>
        <w:t>The unaugmented face model loses 5.5 macro-F1 points when evaluated on degraded faces, from 0.378 to 0.322. Mixed augmentation recovers most of this loss: the augmented model scores 0.366 on original faces and 0.361 on degraded faces, reducing the clean-to-degraded gap to 0.5 points. This is the strongest evidence that the augmentation protocol improves deployment robustness even though it slightly reduces clean-test performance.</w:t>
      </w:r>
    </w:p>
    <w:p>
      <w:pPr>
        <w:pStyle w:val="Heading2"/>
        <w:keepNext/>
      </w:pPr>
      <w:r>
        <w:t>6.3 Per-Class Behavior</w:t>
      </w:r>
    </w:p>
    <w:p>
      <w:pPr>
        <w:spacing w:before="80" w:after="160"/>
        <w:jc w:val="center"/>
      </w:pPr>
      <w:r>
        <w:drawing>
          <wp:inline xmlns:a="http://schemas.openxmlformats.org/drawingml/2006/main" xmlns:pic="http://schemas.openxmlformats.org/drawingml/2006/picture">
            <wp:extent cx="5897880" cy="1107776"/>
            <wp:docPr id="14" name="Picture 14"/>
            <wp:cNvGraphicFramePr>
              <a:graphicFrameLocks noChangeAspect="1"/>
            </wp:cNvGraphicFramePr>
            <a:graphic>
              <a:graphicData uri="http://schemas.openxmlformats.org/drawingml/2006/picture">
                <pic:pic>
                  <pic:nvPicPr>
                    <pic:cNvPr id="0" name="table_06.png"/>
                    <pic:cNvPicPr/>
                  </pic:nvPicPr>
                  <pic:blipFill>
                    <a:blip r:embed="rId23"/>
                    <a:stretch>
                      <a:fillRect/>
                    </a:stretch>
                  </pic:blipFill>
                  <pic:spPr>
                    <a:xfrm>
                      <a:off x="0" y="0"/>
                      <a:ext cx="5897880" cy="1107776"/>
                    </a:xfrm>
                    <a:prstGeom prst="rect"/>
                  </pic:spPr>
                </pic:pic>
              </a:graphicData>
            </a:graphic>
          </wp:inline>
        </w:drawing>
      </w:r>
    </w:p>
    <w:p>
      <w:pPr>
        <w:spacing w:after="120" w:line="259" w:lineRule="auto"/>
      </w:pPr>
      <w:r>
        <w:rPr>
          <w:rFonts w:ascii="Times New Roman" w:hAnsi="Times New Roman"/>
          <w:color w:val="1F2933"/>
          <w:sz w:val="21"/>
        </w:rPr>
        <w:t>The full-image model is strongest on neutral (0.492 F1), consistent with the hypothesis that global scene context helps with visually flat dialogue frames. Fusion shifts the error profile rather than improving the global objective: negative-class F1 rises to 0.430, a 4.1-point gain over the crop-level face model and an 8.5-point gain over the full-image model, but positive F1 falls to 0.192. CLIP is the only model with all three classes above 0.5 F1.</w:t>
      </w:r>
    </w:p>
    <w:p>
      <w:pPr>
        <w:jc w:val="center"/>
      </w:pPr>
      <w:r>
        <w:drawing>
          <wp:inline xmlns:a="http://schemas.openxmlformats.org/drawingml/2006/main" xmlns:pic="http://schemas.openxmlformats.org/drawingml/2006/picture">
            <wp:extent cx="5715000" cy="2335457"/>
            <wp:docPr id="15" name="Picture 15"/>
            <wp:cNvGraphicFramePr>
              <a:graphicFrameLocks noChangeAspect="1"/>
            </wp:cNvGraphicFramePr>
            <a:graphic>
              <a:graphicData uri="http://schemas.openxmlformats.org/drawingml/2006/picture">
                <pic:pic>
                  <pic:nvPicPr>
                    <pic:cNvPr id="0" name="side_by_side_07.png"/>
                    <pic:cNvPicPr/>
                  </pic:nvPicPr>
                  <pic:blipFill>
                    <a:blip r:embed="rId24"/>
                    <a:stretch>
                      <a:fillRect/>
                    </a:stretch>
                  </pic:blipFill>
                  <pic:spPr>
                    <a:xfrm>
                      <a:off x="0" y="0"/>
                      <a:ext cx="5715000" cy="2335457"/>
                    </a:xfrm>
                    <a:prstGeom prst="rect"/>
                  </pic:spPr>
                </pic:pic>
              </a:graphicData>
            </a:graphic>
          </wp:inline>
        </w:drawing>
      </w:r>
    </w:p>
    <w:p>
      <w:pPr>
        <w:spacing w:before="20" w:after="160"/>
        <w:jc w:val="center"/>
      </w:pPr>
      <w:r>
        <w:rPr>
          <w:i/>
          <w:color w:val="52616B"/>
          <w:sz w:val="18"/>
        </w:rPr>
        <w:t>Figure 9. Fusion and CLIP confusion matrices. Fusion is negative-skewed; CLIP is more balanced across classes.</w:t>
      </w:r>
    </w:p>
    <w:p>
      <w:pPr>
        <w:pStyle w:val="Heading2"/>
        <w:keepNext/>
      </w:pPr>
      <w:r>
        <w:t>6.4 Fusion Regime Analysis</w:t>
      </w:r>
    </w:p>
    <w:p>
      <w:pPr>
        <w:spacing w:after="120" w:line="259" w:lineRule="auto"/>
      </w:pPr>
      <w:r>
        <w:rPr>
          <w:rFonts w:ascii="Times New Roman" w:hAnsi="Times New Roman"/>
          <w:color w:val="1F2933"/>
          <w:sz w:val="21"/>
        </w:rPr>
        <w:t>The fusion result should be framed as a targeted, interpretable behavior rather than a universal improvement. The MLP learns an active routing function from face-count metadata, but the routing is only beneficial in some regimes. In multi-face scenes it improves over the full-image branch, while in no-face scenes it over-corrects toward negative and loses macro-F1. This nuance is important because it converts an apparently disappointing macro-F1 row into a meaningful diagnostic result.</w:t>
      </w:r>
    </w:p>
    <w:p>
      <w:pPr>
        <w:spacing w:before="80" w:after="160"/>
        <w:jc w:val="center"/>
      </w:pPr>
      <w:r>
        <w:drawing>
          <wp:inline xmlns:a="http://schemas.openxmlformats.org/drawingml/2006/main" xmlns:pic="http://schemas.openxmlformats.org/drawingml/2006/picture">
            <wp:extent cx="5897880" cy="1107776"/>
            <wp:docPr id="16" name="Picture 16"/>
            <wp:cNvGraphicFramePr>
              <a:graphicFrameLocks noChangeAspect="1"/>
            </wp:cNvGraphicFramePr>
            <a:graphic>
              <a:graphicData uri="http://schemas.openxmlformats.org/drawingml/2006/picture">
                <pic:pic>
                  <pic:nvPicPr>
                    <pic:cNvPr id="0" name="table_08.png"/>
                    <pic:cNvPicPr/>
                  </pic:nvPicPr>
                  <pic:blipFill>
                    <a:blip r:embed="rId25"/>
                    <a:stretch>
                      <a:fillRect/>
                    </a:stretch>
                  </pic:blipFill>
                  <pic:spPr>
                    <a:xfrm>
                      <a:off x="0" y="0"/>
                      <a:ext cx="5897880" cy="1107776"/>
                    </a:xfrm>
                    <a:prstGeom prst="rect"/>
                  </pic:spPr>
                </pic:pic>
              </a:graphicData>
            </a:graphic>
          </wp:inline>
        </w:drawing>
      </w:r>
    </w:p>
    <w:p>
      <w:pPr>
        <w:spacing w:after="120" w:line="259" w:lineRule="auto"/>
      </w:pPr>
      <w:r>
        <w:rPr>
          <w:rFonts w:ascii="Times New Roman" w:hAnsi="Times New Roman"/>
          <w:color w:val="1F2933"/>
          <w:sz w:val="21"/>
        </w:rPr>
        <w:t>The multi-face rows are the most favorable evidence for the fusion model. With two or more faces, fusion macro-F1 is 0.387 compared with 0.380 for the full-image branch. With three or more faces, fusion reaches 0.398 macro-F1 and 0.443 negative F1. The no-face row shows the limitation: the feature design can identify that the face modality is absent, but the trained MLP did not learn a sufficiently neutral fallback. A stronger future design would use calibrated logits or a class-conditional gate rather than a single shared MLP.</w:t>
      </w:r>
    </w:p>
    <w:p>
      <w:pPr>
        <w:pStyle w:val="Heading2"/>
        <w:keepNext/>
      </w:pPr>
      <w:r>
        <w:t>6.5 CLIP Multimodal Result</w:t>
      </w:r>
    </w:p>
    <w:p>
      <w:pPr>
        <w:spacing w:after="120" w:line="259" w:lineRule="auto"/>
      </w:pPr>
      <w:r>
        <w:rPr>
          <w:rFonts w:ascii="Times New Roman" w:hAnsi="Times New Roman"/>
          <w:color w:val="1F2933"/>
          <w:sz w:val="21"/>
        </w:rPr>
        <w:t>The CLIP branch reaches 0.570 accuracy, 0.562 macro-F1, and 0.567 weighted-F1 on the 4,431-row image-level test split. Per-class F1 is 0.535 for negative, 0.629 for neutral, and 0.522 for positive. The key scientific interpretation is that the gain is not merely architectural. It is evidence that the English utterance carries explicit sentiment information that is unavailable in many still frames.</w:t>
      </w:r>
    </w:p>
    <w:p>
      <w:pPr>
        <w:spacing w:after="120" w:line="259" w:lineRule="auto"/>
      </w:pPr>
      <w:r>
        <w:rPr>
          <w:rFonts w:ascii="Times New Roman" w:hAnsi="Times New Roman"/>
          <w:color w:val="1F2933"/>
          <w:sz w:val="21"/>
        </w:rPr>
        <w:t>The ablation logic supports the selected configuration. A higher learning rate of 1e-3 produced instability; 5e-4 was selected in the weekly logs as the stable stage-one rate. A low-learning-rate stage-two unfreeze was implemented but not retained because the smoke test reduced validation macro-F1 by approximately 0.01. The final decision therefore prioritizes stability, reproducibility, and defensible improvement over an unverified fine-tuning claim.</w:t>
      </w:r>
    </w:p>
    <w:p>
      <w:pPr>
        <w:jc w:val="center"/>
      </w:pPr>
      <w:r>
        <w:drawing>
          <wp:inline xmlns:a="http://schemas.openxmlformats.org/drawingml/2006/main" xmlns:pic="http://schemas.openxmlformats.org/drawingml/2006/picture">
            <wp:extent cx="5394960" cy="2054444"/>
            <wp:docPr id="17" name="Picture 17"/>
            <wp:cNvGraphicFramePr>
              <a:graphicFrameLocks noChangeAspect="1"/>
            </wp:cNvGraphicFramePr>
            <a:graphic>
              <a:graphicData uri="http://schemas.openxmlformats.org/drawingml/2006/picture">
                <pic:pic>
                  <pic:nvPicPr>
                    <pic:cNvPr id="0" name="clip_training_curve.png"/>
                    <pic:cNvPicPr/>
                  </pic:nvPicPr>
                  <pic:blipFill>
                    <a:blip r:embed="rId26"/>
                    <a:stretch>
                      <a:fillRect/>
                    </a:stretch>
                  </pic:blipFill>
                  <pic:spPr>
                    <a:xfrm>
                      <a:off x="0" y="0"/>
                      <a:ext cx="5394960" cy="2054444"/>
                    </a:xfrm>
                    <a:prstGeom prst="rect"/>
                  </pic:spPr>
                </pic:pic>
              </a:graphicData>
            </a:graphic>
          </wp:inline>
        </w:drawing>
      </w:r>
    </w:p>
    <w:p>
      <w:pPr>
        <w:spacing w:before="20" w:after="160"/>
        <w:jc w:val="center"/>
      </w:pPr>
      <w:r>
        <w:rPr>
          <w:i/>
          <w:color w:val="52616B"/>
          <w:sz w:val="18"/>
        </w:rPr>
        <w:t>Figure 10. CLIP stage-one training curve from notebook 07.</w:t>
      </w:r>
    </w:p>
    <w:p>
      <w:pPr>
        <w:pStyle w:val="Heading1"/>
        <w:keepNext/>
      </w:pPr>
      <w:r>
        <w:t>7. Discussion</w:t>
      </w:r>
    </w:p>
    <w:p>
      <w:pPr>
        <w:pStyle w:val="Heading2"/>
        <w:keepNext/>
      </w:pPr>
      <w:r>
        <w:t>7.1 What the Visual Ceiling Means</w:t>
      </w:r>
    </w:p>
    <w:p>
      <w:pPr>
        <w:spacing w:after="120" w:line="259" w:lineRule="auto"/>
      </w:pPr>
      <w:r>
        <w:rPr>
          <w:rFonts w:ascii="Times New Roman" w:hAnsi="Times New Roman"/>
          <w:color w:val="1F2933"/>
          <w:sz w:val="21"/>
        </w:rPr>
        <w:t>The most important empirical pattern is the narrow performance band among visual-only models. Face crops, whole images, and late fusion all exceed the majority baseline in macro-F1, so they are not trivial predictors. However, their macro-F1 values remain close enough that none supplies a decisive solution to dialogue sentiment. This is expected for MSCTD: a film still may be visually neutral while the utterance is angry, affectionate, ironic, or sarcastic. The visual branch can often identify social context, but it cannot consistently infer the semantic force of the spoken line.</w:t>
      </w:r>
    </w:p>
    <w:p>
      <w:pPr>
        <w:pStyle w:val="Heading2"/>
        <w:keepNext/>
      </w:pPr>
      <w:r>
        <w:t>7.2 Interpretation of the Fusion Result</w:t>
      </w:r>
    </w:p>
    <w:p>
      <w:pPr>
        <w:spacing w:after="120" w:line="259" w:lineRule="auto"/>
      </w:pPr>
      <w:r>
        <w:rPr>
          <w:rFonts w:ascii="Times New Roman" w:hAnsi="Times New Roman"/>
          <w:color w:val="1F2933"/>
          <w:sz w:val="21"/>
        </w:rPr>
        <w:t>The fusion result should not be interpreted solely through the aggregate macro-F1 score. The evidence indicates a class- and regime-specific effect: fusion improves the negative class and selected multi-face regimes, showing that face-count-aware routing contains useful signal. At the same time, it fails on positive sentiment and no-face scenes, showing that the current feature vector and shared objective are insufficient. This mixed outcome is scientifically informative because it identifies where late probability fusion is useful and where a more expressive gate is required.</w:t>
      </w:r>
    </w:p>
    <w:p>
      <w:pPr>
        <w:pStyle w:val="Heading2"/>
        <w:keepNext/>
      </w:pPr>
      <w:r>
        <w:t>7.3 Limitations and Threats to Validity</w:t>
      </w:r>
    </w:p>
    <w:p>
      <w:pPr>
        <w:pStyle w:val="ListBullet"/>
        <w:spacing w:after="60"/>
      </w:pPr>
      <w:r>
        <w:rPr>
          <w:rFonts w:ascii="Times New Roman" w:hAnsi="Times New Roman"/>
          <w:color w:val="1F2933"/>
          <w:sz w:val="20"/>
        </w:rPr>
        <w:t>Face-level and image-level metrics are not identical units; the report therefore distinguishes crop-level and aggregated image-level rows.</w:t>
      </w:r>
    </w:p>
    <w:p>
      <w:pPr>
        <w:pStyle w:val="ListBullet"/>
        <w:spacing w:after="60"/>
      </w:pPr>
      <w:r>
        <w:rPr>
          <w:rFonts w:ascii="Times New Roman" w:hAnsi="Times New Roman"/>
          <w:color w:val="1F2933"/>
          <w:sz w:val="20"/>
        </w:rPr>
        <w:t>The re-stratified split avoids scene leakage, but it differs from the official MSCTD train/dev/test protocol, so direct comparison with external papers requires care.</w:t>
      </w:r>
    </w:p>
    <w:p>
      <w:pPr>
        <w:pStyle w:val="ListBullet"/>
        <w:spacing w:after="60"/>
      </w:pPr>
      <w:r>
        <w:rPr>
          <w:rFonts w:ascii="Times New Roman" w:hAnsi="Times New Roman"/>
          <w:color w:val="1F2933"/>
          <w:sz w:val="20"/>
        </w:rPr>
        <w:t>The robustness test uses synthetic degradations; it approximates blur, compression, lighting, and pose shift but does not fully model real deployment noise.</w:t>
      </w:r>
    </w:p>
    <w:p>
      <w:pPr>
        <w:pStyle w:val="ListBullet"/>
        <w:spacing w:after="60"/>
      </w:pPr>
      <w:r>
        <w:rPr>
          <w:rFonts w:ascii="Times New Roman" w:hAnsi="Times New Roman"/>
          <w:color w:val="1F2933"/>
          <w:sz w:val="20"/>
        </w:rPr>
        <w:t>The CLIP result demonstrates multimodal signal, but it does not prove that all visual-language architectures would behave similarly.</w:t>
      </w:r>
    </w:p>
    <w:p>
      <w:pPr>
        <w:pStyle w:val="ListBullet"/>
        <w:spacing w:after="60"/>
      </w:pPr>
      <w:r>
        <w:rPr>
          <w:rFonts w:ascii="Times New Roman" w:hAnsi="Times New Roman"/>
          <w:color w:val="1F2933"/>
          <w:sz w:val="20"/>
        </w:rPr>
        <w:t>Hyperparameter search was constrained by CPU runtime; the chosen models emphasize stability and reproducibility over exhaustive optimization.</w:t>
      </w:r>
    </w:p>
    <w:p>
      <w:pPr>
        <w:pStyle w:val="Heading1"/>
        <w:keepNext/>
      </w:pPr>
      <w:r>
        <w:t>8. Conclusion</w:t>
      </w:r>
    </w:p>
    <w:p>
      <w:pPr>
        <w:spacing w:after="120" w:line="259" w:lineRule="auto"/>
      </w:pPr>
      <w:r>
        <w:rPr>
          <w:rFonts w:ascii="Times New Roman" w:hAnsi="Times New Roman"/>
          <w:color w:val="1F2933"/>
          <w:sz w:val="21"/>
        </w:rPr>
        <w:t>This project constructs and evaluates a layered sentiment-analysis pipeline for MSCTD English-German. The face branch establishes a meaningful but limited visual signal. The augmentation study demonstrates that mixed degradations reduce the robustness gap by an order of magnitude. The full-image branch contributes neutral-class context. The fusion model produces a targeted negative-class gain and useful regime diagnostics, although it does not improve global macro-F1. The CLIP branch is the strongest model because it adds the utterance text, reaching 0.562 macro-F1 and balanced per-class performance. The final research conclusion is that dialogue sentiment cannot be reliably inferred from still images alone; robust performance requires multimodal evidence.</w:t>
      </w:r>
    </w:p>
    <w:p>
      <w:pPr>
        <w:spacing w:after="120" w:line="259" w:lineRule="auto"/>
      </w:pPr>
      <w:r>
        <w:rPr>
          <w:rFonts w:ascii="Times New Roman" w:hAnsi="Times New Roman"/>
          <w:color w:val="1F2933"/>
          <w:sz w:val="21"/>
        </w:rPr>
        <w:t>Future work should replace probability-level fusion with class-conditional gating or cross-attention over face embeddings, recalibrate the no-face fallback, and evaluate text-only, image-only CLIP, and joint CLIP ablations to quantify the marginal contribution of each modality. A video extension could also aggregate evidence over the complete dialogue scene rather than relying on a single frame.</w:t>
      </w:r>
    </w:p>
    <w:p>
      <w:pPr>
        <w:pStyle w:val="Heading1"/>
        <w:keepNext/>
      </w:pPr>
      <w:r>
        <w:t>Appendix A. Evidence From Weekly Logs</w:t>
      </w:r>
    </w:p>
    <w:p>
      <w:pPr>
        <w:spacing w:after="120" w:line="259" w:lineRule="auto"/>
      </w:pPr>
      <w:r>
        <w:rPr>
          <w:rFonts w:ascii="Times New Roman" w:hAnsi="Times New Roman"/>
          <w:color w:val="1F2933"/>
          <w:sz w:val="21"/>
        </w:rPr>
        <w:t>The weekly logs were used as an audit trail for contributions, hyperparameter choices, fixes, and interpretation. The table below summarizes the evidence most relevant to the final report.</w:t>
      </w:r>
    </w:p>
    <w:p>
      <w:pPr>
        <w:spacing w:before="80" w:after="160"/>
        <w:jc w:val="center"/>
      </w:pPr>
      <w:r>
        <w:drawing>
          <wp:inline xmlns:a="http://schemas.openxmlformats.org/drawingml/2006/main" xmlns:pic="http://schemas.openxmlformats.org/drawingml/2006/picture">
            <wp:extent cx="5897880" cy="1518063"/>
            <wp:docPr id="18" name="Picture 18"/>
            <wp:cNvGraphicFramePr>
              <a:graphicFrameLocks noChangeAspect="1"/>
            </wp:cNvGraphicFramePr>
            <a:graphic>
              <a:graphicData uri="http://schemas.openxmlformats.org/drawingml/2006/picture">
                <pic:pic>
                  <pic:nvPicPr>
                    <pic:cNvPr id="0" name="table_09.png"/>
                    <pic:cNvPicPr/>
                  </pic:nvPicPr>
                  <pic:blipFill>
                    <a:blip r:embed="rId27"/>
                    <a:stretch>
                      <a:fillRect/>
                    </a:stretch>
                  </pic:blipFill>
                  <pic:spPr>
                    <a:xfrm>
                      <a:off x="0" y="0"/>
                      <a:ext cx="5897880" cy="1518063"/>
                    </a:xfrm>
                    <a:prstGeom prst="rect"/>
                  </pic:spPr>
                </pic:pic>
              </a:graphicData>
            </a:graphic>
          </wp:inline>
        </w:drawing>
      </w:r>
    </w:p>
    <w:p>
      <w:pPr>
        <w:pStyle w:val="Heading1"/>
        <w:keepNext/>
      </w:pPr>
      <w:r>
        <w:t>Appendix B. Reproducibility Checklist</w:t>
      </w:r>
    </w:p>
    <w:p>
      <w:pPr>
        <w:pStyle w:val="ListBullet"/>
        <w:spacing w:after="60"/>
      </w:pPr>
      <w:r>
        <w:rPr>
          <w:rFonts w:ascii="Times New Roman" w:hAnsi="Times New Roman"/>
          <w:color w:val="1F2933"/>
          <w:sz w:val="20"/>
        </w:rPr>
        <w:t>Run order: notebooks 01 through 07, as specified in run_instructions.md.</w:t>
      </w:r>
    </w:p>
    <w:p>
      <w:pPr>
        <w:pStyle w:val="ListBullet"/>
        <w:spacing w:after="60"/>
      </w:pPr>
      <w:r>
        <w:rPr>
          <w:rFonts w:ascii="Times New Roman" w:hAnsi="Times New Roman"/>
          <w:color w:val="1F2933"/>
          <w:sz w:val="20"/>
        </w:rPr>
        <w:t>Primary processed tables: data/processed/msctd_master.csv, face_metadata.csv, degraded_face_metadata.csv, fusion_features.csv.</w:t>
      </w:r>
    </w:p>
    <w:p>
      <w:pPr>
        <w:pStyle w:val="ListBullet"/>
        <w:spacing w:after="60"/>
      </w:pPr>
      <w:r>
        <w:rPr>
          <w:rFonts w:ascii="Times New Roman" w:hAnsi="Times New Roman"/>
          <w:color w:val="1F2933"/>
          <w:sz w:val="20"/>
        </w:rPr>
        <w:t>Metrics source: outputs/metrics/*.json and outputs/metrics/robustness_results.csv.</w:t>
      </w:r>
    </w:p>
    <w:p>
      <w:pPr>
        <w:pStyle w:val="ListBullet"/>
        <w:spacing w:after="60"/>
      </w:pPr>
      <w:r>
        <w:rPr>
          <w:rFonts w:ascii="Times New Roman" w:hAnsi="Times New Roman"/>
          <w:color w:val="1F2933"/>
          <w:sz w:val="20"/>
        </w:rPr>
        <w:t>Prediction source: outputs/predictions/*.csv.</w:t>
      </w:r>
    </w:p>
    <w:p>
      <w:pPr>
        <w:pStyle w:val="ListBullet"/>
        <w:spacing w:after="60"/>
      </w:pPr>
      <w:r>
        <w:rPr>
          <w:rFonts w:ascii="Times New Roman" w:hAnsi="Times New Roman"/>
          <w:color w:val="1F2933"/>
          <w:sz w:val="20"/>
        </w:rPr>
        <w:t>Figures source: outputs/plots and outputs/confusion_matrices.</w:t>
      </w:r>
    </w:p>
    <w:p>
      <w:pPr>
        <w:pStyle w:val="ListBullet"/>
        <w:spacing w:after="60"/>
      </w:pPr>
      <w:r>
        <w:rPr>
          <w:rFonts w:ascii="Times New Roman" w:hAnsi="Times New Roman"/>
          <w:color w:val="1F2933"/>
          <w:sz w:val="20"/>
        </w:rPr>
        <w:t>Fixed seed: 42 through src/utils.py::seed_everything.</w:t>
      </w:r>
    </w:p>
    <w:p>
      <w:pPr>
        <w:pStyle w:val="ListBullet"/>
        <w:spacing w:after="60"/>
      </w:pPr>
      <w:r>
        <w:rPr>
          <w:rFonts w:ascii="Times New Roman" w:hAnsi="Times New Roman"/>
          <w:color w:val="1F2933"/>
          <w:sz w:val="20"/>
        </w:rPr>
        <w:t>Training device: CPU, as configured in src/config.py and the notebook kernels.</w:t>
      </w:r>
    </w:p>
    <w:p>
      <w:pPr>
        <w:pStyle w:val="Heading1"/>
        <w:keepNext/>
      </w:pPr>
      <w:r>
        <w:t>References</w:t>
      </w:r>
    </w:p>
    <w:p>
      <w:pPr>
        <w:spacing w:after="60"/>
        <w:ind w:left="317" w:hanging="317"/>
      </w:pPr>
      <w:r>
        <w:rPr>
          <w:rFonts w:ascii="Times New Roman" w:hAnsi="Times New Roman"/>
          <w:color w:val="1F2933"/>
          <w:sz w:val="18"/>
        </w:rPr>
        <w:t>[1] Y. Liang, F. Meng, J. Xu, Y. Chen, and J. Zhou, "MSCTD: A multimodal sentiment chat translation dataset," Proc. ACL, 2022.</w:t>
      </w:r>
    </w:p>
    <w:p>
      <w:pPr>
        <w:spacing w:after="60"/>
        <w:ind w:left="317" w:hanging="317"/>
      </w:pPr>
      <w:r>
        <w:rPr>
          <w:rFonts w:ascii="Times New Roman" w:hAnsi="Times New Roman"/>
          <w:color w:val="1F2933"/>
          <w:sz w:val="18"/>
        </w:rPr>
        <w:t>[2] K. Zhang, Z. Zhang, Z. Li, and Y. Qiao, "Joint face detection and alignment using multitask cascaded convolutional networks," IEEE Signal Processing Letters, 2016.</w:t>
      </w:r>
    </w:p>
    <w:p>
      <w:pPr>
        <w:spacing w:after="60"/>
        <w:ind w:left="317" w:hanging="317"/>
      </w:pPr>
      <w:r>
        <w:rPr>
          <w:rFonts w:ascii="Times New Roman" w:hAnsi="Times New Roman"/>
          <w:color w:val="1F2933"/>
          <w:sz w:val="18"/>
        </w:rPr>
        <w:t>[3] K. He, X. Zhang, S. Ren, and J. Sun, "Deep residual learning for image recognition," Proc. CVPR, 2016.</w:t>
      </w:r>
    </w:p>
    <w:p>
      <w:pPr>
        <w:spacing w:after="60"/>
        <w:ind w:left="317" w:hanging="317"/>
      </w:pPr>
      <w:r>
        <w:rPr>
          <w:rFonts w:ascii="Times New Roman" w:hAnsi="Times New Roman"/>
          <w:color w:val="1F2933"/>
          <w:sz w:val="18"/>
        </w:rPr>
        <w:t>[4] T. Baltrusaitis, C. Ahuja, and L.-P. Morency, "Multimodal machine learning: A survey and taxonomy," IEEE TPAMI, 2018.</w:t>
      </w:r>
    </w:p>
    <w:p>
      <w:pPr>
        <w:spacing w:after="60"/>
        <w:ind w:left="317" w:hanging="317"/>
      </w:pPr>
      <w:r>
        <w:rPr>
          <w:rFonts w:ascii="Times New Roman" w:hAnsi="Times New Roman"/>
          <w:color w:val="1F2933"/>
          <w:sz w:val="18"/>
        </w:rPr>
        <w:t>[5] A. Radford et al., "Learning transferable visual models from natural language supervision," Proc. ICML, 2021.</w:t>
      </w:r>
    </w:p>
    <w:p>
      <w:pPr>
        <w:spacing w:after="60"/>
        <w:ind w:left="317" w:hanging="317"/>
      </w:pPr>
      <w:r>
        <w:rPr>
          <w:rFonts w:ascii="Times New Roman" w:hAnsi="Times New Roman"/>
          <w:color w:val="1F2933"/>
          <w:sz w:val="18"/>
        </w:rPr>
        <w:t>[6] A. Dosovitskiy et al., "An image is worth 16x16 words: Transformers for image recognition at scale," Proc. ICLR, 2021.</w:t>
      </w:r>
    </w:p>
    <w:p>
      <w:pPr>
        <w:spacing w:after="60"/>
        <w:ind w:left="317" w:hanging="317"/>
      </w:pPr>
      <w:r>
        <w:rPr>
          <w:rFonts w:ascii="Times New Roman" w:hAnsi="Times New Roman"/>
          <w:color w:val="1F2933"/>
          <w:sz w:val="18"/>
        </w:rPr>
        <w:t>[7] Z. Liu et al., "Swin Transformer: Hierarchical vision transformer using shifted windows," Proc. ICCV, 2021.</w:t>
      </w:r>
    </w:p>
    <w:p>
      <w:pPr>
        <w:spacing w:after="60"/>
        <w:ind w:left="317" w:hanging="317"/>
      </w:pPr>
      <w:r>
        <w:rPr>
          <w:rFonts w:ascii="Times New Roman" w:hAnsi="Times New Roman"/>
          <w:color w:val="1F2933"/>
          <w:sz w:val="18"/>
        </w:rPr>
        <w:t>[8] H. Tan and M. Bansal, "LXMERT: Learning cross-modality encoder representations from transformers," Proc. EMNLP, 2019.</w:t>
      </w:r>
    </w:p>
    <w:p>
      <w:pPr>
        <w:spacing w:after="60"/>
        <w:ind w:left="317" w:hanging="317"/>
      </w:pPr>
      <w:r>
        <w:rPr>
          <w:rFonts w:ascii="Times New Roman" w:hAnsi="Times New Roman"/>
          <w:color w:val="1F2933"/>
          <w:sz w:val="18"/>
        </w:rPr>
        <w:t>[9] J. Lei et al., "Less is more: ClipBERT for video-and-language learning via sparse sampling," Proc. CVPR, 2021.</w:t>
      </w:r>
    </w:p>
    <w:p>
      <w:pPr>
        <w:spacing w:after="60"/>
        <w:ind w:left="317" w:hanging="317"/>
      </w:pPr>
      <w:r>
        <w:rPr>
          <w:rFonts w:ascii="Times New Roman" w:hAnsi="Times New Roman"/>
          <w:color w:val="1F2933"/>
          <w:sz w:val="18"/>
        </w:rPr>
        <w:t>[10] F. Schroff, D. Kalenichenko, and J. Philbin, "FaceNet: A unified embedding for face recognition and clustering," Proc. CVPR, 2015.</w:t>
      </w:r>
    </w:p>
    <w:sectPr w:rsidR="00FC693F" w:rsidRPr="0006063C" w:rsidSect="00034616">
      <w:footerReference w:type="default" r:id="rId9"/>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EEEM068 Applied Machine Learning | Human Sentiment Analysis | Research report rewrite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7A8C"/>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Human Sentiment Analysis on MSCTD En-De</dc:title>
  <dc:subject>EEEM068 research report rewrite</dc:subject>
  <dc:creator>EEEM068 Human Sentiment Analysis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