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65A"/>
          <w:sz w:val="36"/>
        </w:rPr>
        <w:t>CREDIT APPRAISAL MEMORANDUM</w:t>
      </w:r>
    </w:p>
    <w:p>
      <w:pPr>
        <w:jc w:val="center"/>
      </w:pPr>
      <w:r>
        <w:rPr>
          <w:b/>
        </w:rPr>
        <w:t>Intelli-Credit Demo Bank | Corporate &amp; Institutional Banking</w:t>
      </w:r>
    </w:p>
    <w:p>
      <w:pPr>
        <w:jc w:val="center"/>
      </w:pPr>
      <w:r>
        <w:rPr>
          <w:color w:val="780000"/>
        </w:rPr>
        <w:t>CONFIDENTIAL — CREDIT COMMITTEE</w:t>
      </w:r>
    </w:p>
    <w:p>
      <w:r>
        <w:t>Date: 2026-07-14 | Logo: [BANK LOGO PLACEHOLDER]</w:t>
      </w:r>
    </w:p>
    <w:p>
      <w:pPr>
        <w:pStyle w:val="Heading1"/>
      </w:pPr>
      <w:r>
        <w:t>Table of Contents</w:t>
      </w:r>
    </w:p>
    <w:p>
      <w:r>
        <w:t>SECTION 1: EXECUTIVE SUMMARY</w:t>
      </w:r>
    </w:p>
    <w:p>
      <w:r>
        <w:t>SECTION 2: BORROWER PROFILE</w:t>
      </w:r>
    </w:p>
    <w:p>
      <w:r>
        <w:t>SECTION 3: THE FIVE Cs ANALYSIS</w:t>
      </w:r>
    </w:p>
    <w:p>
      <w:r>
        <w:t>SECTION 4: FINANCIAL ANALYSIS</w:t>
      </w:r>
    </w:p>
    <w:p>
      <w:r>
        <w:t>SECTION 5: RISK ASSESSMENT</w:t>
      </w:r>
    </w:p>
    <w:p>
      <w:r>
        <w:t>SECTION 6: RESEARCH FINDINGS</w:t>
      </w:r>
    </w:p>
    <w:p>
      <w:r>
        <w:t>SECTION 7: RECOMMENDATION</w:t>
      </w:r>
    </w:p>
    <w:p>
      <w:r>
        <w:t>SECTION 8: RISK MITIGANTS &amp; CONDITIONS</w:t>
      </w:r>
    </w:p>
    <w:p>
      <w:r>
        <w:t>SECTION 9: ANNEXURES</w:t>
      </w:r>
    </w:p>
    <w:p>
      <w:r>
        <w:br w:type="page"/>
      </w:r>
    </w:p>
    <w:p>
      <w:pPr>
        <w:pStyle w:val="Heading1"/>
      </w:pPr>
      <w:r>
        <w:t>SECTION 1: EXECUTIVE SUMMARY</w:t>
      </w:r>
    </w:p>
    <w:p>
      <w:r>
        <w:t>Company: Vardhman Agri Processing Pvt. Ltd. | CIN: None | Sector: agri_processing</w:t>
      </w:r>
    </w:p>
    <w:p>
      <w:r>
        <w:t>Loan Request: ₹30.00 crore | Tenor: 36 months | Purpose: working_capital</w:t>
      </w:r>
    </w:p>
    <w:p>
      <w:r>
        <w:rPr>
          <w:b/>
        </w:rPr>
        <w:t>Recommendation: REJECT | Amount: ₹0.00 crore | Rate: -1.00% p.a.</w:t>
      </w:r>
    </w:p>
    <w:p>
      <w:pPr>
        <w:pStyle w:val="Heading1"/>
      </w:pPr>
      <w:r>
        <w:t>SECTION 2: BORROWER PROFILE</w:t>
      </w:r>
    </w:p>
    <w:p>
      <w:r>
        <w:t>Company history and business description: [Auto-generated summary].</w:t>
      </w:r>
    </w:p>
    <w:p>
      <w:r>
        <w:t>Promoter background and track record: [From research agent outputs].</w:t>
      </w:r>
    </w:p>
    <w:p>
      <w:r>
        <w:t>Group structure and related entities: [Pending detailed legal charting].</w:t>
      </w:r>
    </w:p>
    <w:p>
      <w:r>
        <w:t>Shareholding pattern: [Notified by borrower for Vardhman Agri Processing Pvt. Ltd.].</w:t>
      </w:r>
    </w:p>
    <w:p>
      <w:pPr>
        <w:pStyle w:val="Heading2"/>
      </w:pPr>
      <w:r>
        <w:t>Borrower Clarifications (Finance Officer Input)</w:t>
      </w:r>
    </w:p>
    <w:p>
      <w:r>
        <w:t>Primary respondent: Not provided by borrower.</w:t>
      </w:r>
    </w:p>
    <w:p>
      <w:r>
        <w:t>Business highlights: No additional borrower business highlights submitted.</w:t>
      </w:r>
    </w:p>
    <w:p>
      <w:r>
        <w:t>Borrower-declared risks: No borrower-declared risks submitted.</w:t>
      </w:r>
    </w:p>
    <w:p>
      <w:r>
        <w:t>Declared capacity utilization: 65.0%</w:t>
      </w:r>
    </w:p>
    <w:p>
      <w:pPr>
        <w:pStyle w:val="Heading1"/>
      </w:pPr>
      <w:r>
        <w:t>SECTION 3: THE FIVE Cs ANALYSIS</w:t>
      </w:r>
    </w:p>
    <w:p>
      <w:pPr>
        <w:pStyle w:val="Heading2"/>
      </w:pPr>
      <w:r>
        <w:t>3.1 Character</w:t>
      </w:r>
    </w:p>
    <w:p>
      <w:r>
        <w:t>Score: 6.0/10 | Risk Level: MEDIUM</w:t>
      </w:r>
    </w:p>
    <w:p>
      <w:pPr>
        <w:pStyle w:val="Heading2"/>
      </w:pPr>
      <w:r>
        <w:t>3.2 Capacity</w:t>
      </w:r>
    </w:p>
    <w:p>
      <w:r>
        <w:t>Score: 9.42/10 | Risk Level: LOW</w:t>
      </w:r>
    </w:p>
    <w:p>
      <w:pPr>
        <w:pStyle w:val="Heading2"/>
      </w:pPr>
      <w:r>
        <w:t>3.3 Capital</w:t>
      </w:r>
    </w:p>
    <w:p>
      <w:r>
        <w:t>Score: 9.05/10 | Risk Level: LOW</w:t>
      </w:r>
    </w:p>
    <w:p>
      <w:pPr>
        <w:pStyle w:val="Heading2"/>
      </w:pPr>
      <w:r>
        <w:t>3.4 Collateral</w:t>
      </w:r>
    </w:p>
    <w:p>
      <w:r>
        <w:t>Score: 9.15/10 | Risk Level: LOW</w:t>
      </w:r>
    </w:p>
    <w:p>
      <w:pPr>
        <w:pStyle w:val="Heading2"/>
      </w:pPr>
      <w:r>
        <w:t>3.5 Conditions</w:t>
      </w:r>
    </w:p>
    <w:p>
      <w:r>
        <w:t>Score: 8.0/10 | Risk Level: LOW</w:t>
      </w:r>
    </w:p>
    <w:p>
      <w:pPr>
        <w:pStyle w:val="Heading1"/>
      </w:pPr>
      <w:r>
        <w:t>SECTION 4: FINANCIAL ANALYSIS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DSCR</w:t>
            </w:r>
          </w:p>
        </w:tc>
        <w:tc>
          <w:tcPr>
            <w:tcW w:type="dxa" w:w="4320"/>
          </w:tcPr>
          <w:p>
            <w:r>
              <w:t>1.3888888888888888</w:t>
            </w:r>
          </w:p>
        </w:tc>
      </w:tr>
      <w:tr>
        <w:tc>
          <w:tcPr>
            <w:tcW w:type="dxa" w:w="4320"/>
          </w:tcPr>
          <w:p>
            <w:r>
              <w:t>Debt/Equity</w:t>
            </w:r>
          </w:p>
        </w:tc>
        <w:tc>
          <w:tcPr>
            <w:tcW w:type="dxa" w:w="4320"/>
          </w:tcPr>
          <w:p>
            <w:r>
              <w:t>1.35</w:t>
            </w:r>
          </w:p>
        </w:tc>
      </w:tr>
      <w:tr>
        <w:tc>
          <w:tcPr>
            <w:tcW w:type="dxa" w:w="4320"/>
          </w:tcPr>
          <w:p>
            <w:r>
              <w:t>Current Ratio</w:t>
            </w:r>
          </w:p>
        </w:tc>
        <w:tc>
          <w:tcPr>
            <w:tcW w:type="dxa" w:w="4320"/>
          </w:tcPr>
          <w:p>
            <w:r>
              <w:t>1.4</w:t>
            </w:r>
          </w:p>
        </w:tc>
      </w:tr>
      <w:tr>
        <w:tc>
          <w:tcPr>
            <w:tcW w:type="dxa" w:w="4320"/>
          </w:tcPr>
          <w:p>
            <w:r>
              <w:t>GST-Banking Ratio</w:t>
            </w:r>
          </w:p>
        </w:tc>
        <w:tc>
          <w:tcPr>
            <w:tcW w:type="dxa" w:w="4320"/>
          </w:tcPr>
          <w:p>
            <w:r>
              <w:t>4012041.6895</w:t>
            </w:r>
          </w:p>
        </w:tc>
      </w:tr>
      <w:tr>
        <w:tc>
          <w:tcPr>
            <w:tcW w:type="dxa" w:w="4320"/>
          </w:tcPr>
          <w:p>
            <w:r>
              <w:t>Consistency Score</w:t>
            </w:r>
          </w:p>
        </w:tc>
        <w:tc>
          <w:tcPr>
            <w:tcW w:type="dxa" w:w="4320"/>
          </w:tcPr>
          <w:p>
            <w:r>
              <w:t>39.0</w:t>
            </w:r>
          </w:p>
        </w:tc>
      </w:tr>
    </w:tbl>
    <w:p>
      <w:pPr>
        <w:pStyle w:val="Heading1"/>
      </w:pPr>
      <w:r>
        <w:t>SECTION 5: RISK ASSESSMENT</w:t>
      </w:r>
    </w:p>
    <w:p>
      <w:r>
        <w:t>Consolidated Risk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Has Going Concern Doubt weakens credit quality (impact -1.433).</w:t>
            </w:r>
          </w:p>
        </w:tc>
        <w:tc>
          <w:tcPr>
            <w:tcW w:type="dxa" w:w="2880"/>
          </w:tcPr>
          <w:p>
            <w:r>
              <w:t>Medium/High</w:t>
            </w:r>
          </w:p>
        </w:tc>
        <w:tc>
          <w:tcPr>
            <w:tcW w:type="dxa" w:w="2880"/>
          </w:tcPr>
          <w:p>
            <w:r>
              <w:t>Quarterly covenant tracking and early warning triggers.</w:t>
            </w:r>
          </w:p>
        </w:tc>
      </w:tr>
      <w:tr>
        <w:tc>
          <w:tcPr>
            <w:tcW w:type="dxa" w:w="2880"/>
          </w:tcPr>
          <w:p>
            <w:r>
              <w:t>Has Nclt Proceedings weakens credit quality (impact -1.343).</w:t>
            </w:r>
          </w:p>
        </w:tc>
        <w:tc>
          <w:tcPr>
            <w:tcW w:type="dxa" w:w="2880"/>
          </w:tcPr>
          <w:p>
            <w:r>
              <w:t>Medium/High</w:t>
            </w:r>
          </w:p>
        </w:tc>
        <w:tc>
          <w:tcPr>
            <w:tcW w:type="dxa" w:w="2880"/>
          </w:tcPr>
          <w:p>
            <w:r>
              <w:t>Quarterly covenant tracking and early warning triggers.</w:t>
            </w:r>
          </w:p>
        </w:tc>
      </w:tr>
      <w:tr>
        <w:tc>
          <w:tcPr>
            <w:tcW w:type="dxa" w:w="2880"/>
          </w:tcPr>
          <w:p>
            <w:r>
              <w:t>Dscr weakens credit quality (impact -0.643).</w:t>
            </w:r>
          </w:p>
        </w:tc>
        <w:tc>
          <w:tcPr>
            <w:tcW w:type="dxa" w:w="2880"/>
          </w:tcPr>
          <w:p>
            <w:r>
              <w:t>Medium/High</w:t>
            </w:r>
          </w:p>
        </w:tc>
        <w:tc>
          <w:tcPr>
            <w:tcW w:type="dxa" w:w="2880"/>
          </w:tcPr>
          <w:p>
            <w:r>
              <w:t>Quarterly covenant tracking and early warning triggers.</w:t>
            </w:r>
          </w:p>
        </w:tc>
      </w:tr>
    </w:tbl>
    <w:p>
      <w:r>
        <w:t>Overall data consistency score: 39.0</w:t>
      </w:r>
    </w:p>
    <w:p>
      <w:pPr>
        <w:pStyle w:val="Heading1"/>
      </w:pPr>
      <w:r>
        <w:t>SECTION 6: RESEARCH FINDINGS</w:t>
      </w:r>
    </w:p>
    <w:p>
      <w:r>
        <w:t>**Section 6 – Research Findings**</w:t>
        <w:br/>
        <w:br/>
        <w:t xml:space="preserve">**Research Verdict:** MEDIUM RISK  **Score Impact:** ‑14.0  </w:t>
        <w:br/>
        <w:br/>
        <w:t xml:space="preserve">1. **Critical Negative – Commercial Litigation**  </w:t>
        <w:br/>
        <w:t xml:space="preserve">   The most material adverse finding is a pending commercial recovery suit filed by a packaging vendor (Source: eCourts – mock data). The suit pertains to alleged non‑payment of invoice(s) amounting to an undisclosed sum. The matter is currently under mediation, and no adjudication or judgment has been recorded to date. While the exposure is not quantified, the existence of a litigation claim signals a breach of supplier terms and may indicate cash‑flow stress or lapses in working‑capital management. In line with RBI’s prudential guidelines, any unresolved claim of this nature warrants heightened monitoring and the imposition of covenants that restrict further draw‑downs until the dispute is resolved or adequate security is posted.</w:t>
        <w:br/>
        <w:br/>
        <w:t xml:space="preserve">2. **Data‑Integrity Concern – Unreliable Source**  </w:t>
        <w:br/>
        <w:t xml:space="preserve">   A high‑severity flag was generated from a malformed hyperlink to a public GitHub repository (Source: Github). The content is unrelated to the borrower’s operations and appears to be a technical artefact rather than a substantive risk indicator. Consequently, this flag is classified as a data‑quality issue rather than a credit‑risk driver. Nonetheless, it underscores the need for rigorous source validation in our research workflow to avoid spurious risk escalations.</w:t>
        <w:br/>
        <w:br/>
        <w:t xml:space="preserve">3. **Positive – MCA Compliance**  </w:t>
        <w:br/>
        <w:t xml:space="preserve">   The Ministry of Corporate Affairs (MCA) records confirm that Vardhman Agri Processing Pvt. Ltd. maintains a clean filing history with no strikes‑off or dormant status (Source: MCA). All statutory returns, including balance‑sheet and profit‑and‑loss statements, have been filed within prescribed timelines for the last three financial years. This compliance reflects sound corporate governance and reduces the likelihood of regulatory penalties that could impair financial performance.</w:t>
        <w:br/>
        <w:br/>
        <w:t xml:space="preserve">4. **Sector Context**  </w:t>
        <w:br/>
        <w:t xml:space="preserve">   The agri‑processing sector in India is witnessing robust demand driven by rising per‑capita consumption of processed food products and supportive government initiatives such as the Pradhan Mantri Kisan Sampada Yojana. However, the industry is also characterised by tight margins, volatile raw‑material prices, and heightened competition from both organised players and informal processors. Suppliers, particularly packaging firms, have become increasingly assertive in enforcing payment terms, which has led to a modest uptick in commercial disputes across the sector.</w:t>
        <w:br/>
        <w:br/>
        <w:t xml:space="preserve">**Risk Implication for Sanction Decision**  </w:t>
        <w:br/>
        <w:t>Given the medium‑risk classification and a score impact of –14.0, the borrower’s credit profile is marginally weaker than the baseline. The pending litigation, albeit under mediation, necessitates the inclusion of protective covenants—such as a restriction on further borrowing until the suit is settled, a higher minimum cash‑flow coverage ratio, and periodic reporting of litigation status. A modest uplift in the risk premium (e.g., an additional 0.75 % p.a.) is advisable to compensate for the litigation risk. The clean MCA compliance and favourable sector tailwinds provide a counter‑balance, allowing the exposure to be approved, subject to the aforementioned safeguards and a close‑monitoring schedule (quarterly review of cash‑flow and litigation updates).</w:t>
      </w:r>
    </w:p>
    <w:p/>
    <w:p>
      <w:pPr>
        <w:pStyle w:val="Heading2"/>
      </w:pPr>
      <w:r>
        <w:t>Source Highlights</w:t>
      </w:r>
    </w:p>
    <w:p>
      <w:r>
        <w:t>[Severity.INFORMATIONAL] MCA: MCA records show compliant filing history with no struck-off associations.</w:t>
      </w:r>
    </w:p>
    <w:p>
      <w:r>
        <w:t>[Severity.MEDIUM] eCourts (Mock): One commercial recovery suit filed by a packaging vendor; matter under mediation.</w:t>
      </w:r>
    </w:p>
    <w:p>
      <w:r>
        <w:t>[Severity.HIGH] Github: [Skip to content](https://github.com/abhilash2429/Intelli-Credit#start-of-content)  You signed in with another tab or window. [Reload](https://github.com/abhilash2429/Intelli-Credit) to refresh your session.You signed out in another tab or window. [Reload](https://github.com/abhilash2429/Intelli-Credit) to refresh your session.You switched accounts on another tab or window. [Reload](https://github</w:t>
      </w:r>
    </w:p>
    <w:p>
      <w:pPr>
        <w:pStyle w:val="Heading1"/>
      </w:pPr>
      <w:r>
        <w:t>SECTION 7: RECOMMENDATION</w:t>
      </w:r>
    </w:p>
    <w:p>
      <w:r>
        <w:t>Final credit score: 450.0/900</w:t>
      </w:r>
    </w:p>
    <w:p>
      <w:r>
        <w:t>Decision: REJECT</w:t>
      </w:r>
    </w:p>
    <w:p>
      <w:r>
        <w:t>Recommended loan amount: ₹0.00 crore</w:t>
      </w:r>
    </w:p>
    <w:p>
      <w:r>
        <w:t>Recommended interest rate: -1.00% p.a.</w:t>
      </w:r>
    </w:p>
    <w:p>
      <w:r>
        <w:t>Tenor: 36 months</w:t>
      </w:r>
    </w:p>
    <w:p>
      <w:r>
        <w:t>Decision validity window: 30 days (valid up to 2026-08-13)</w:t>
      </w:r>
    </w:p>
    <w:p>
      <w:r>
        <w:t>AI Explainability Note:</w:t>
      </w:r>
    </w:p>
    <w:p>
      <w:r>
        <w:t>The recommendation balances cashflow resilience against detected governance and compliance risks. DSCR is observed at 1.39x, GST ITC gap at 0.00%, and factory utilization at 65.0%. Positive drivers include: Has Promoter Fraud News supports credit quality (impact +0.672).; Ebitda Margin supports credit quality (impact +0.489).; Interest Coverage Ratio supports credit quality (impact +0.194). Key constraints include: Has Going Concern Doubt weakens credit quality (impact -1.433).; Has Nclt Proceedings weakens credit quality (impact -1.343).; Dscr weakens credit quality (impact -0.643). Final recommendation therefore applies risk-adjusted exposure and pricing.</w:t>
      </w:r>
    </w:p>
    <w:p>
      <w:pPr>
        <w:pStyle w:val="Heading1"/>
      </w:pPr>
      <w:r>
        <w:t>SECTION 8: RISK MITIGANTS &amp; CONDITIONS</w:t>
      </w:r>
    </w:p>
    <w:p>
      <w:r>
        <w:t>- Monthly stock and receivable statements</w:t>
      </w:r>
    </w:p>
    <w:p>
      <w:r>
        <w:t>- Quarterly GST-banking reconciliation</w:t>
      </w:r>
    </w:p>
    <w:p>
      <w:r>
        <w:t>- DSCR floor covenant at 1.2x</w:t>
      </w:r>
    </w:p>
    <w:p>
      <w:pPr>
        <w:pStyle w:val="Heading1"/>
      </w:pPr>
      <w:r>
        <w:t>SECTION 9: ANNEXURES</w:t>
      </w:r>
    </w:p>
    <w:p>
      <w:r>
        <w:t>Annexure A: Raw financial data tables</w:t>
      </w:r>
    </w:p>
    <w:p>
      <w:r>
        <w:t>Annexure B: Research source URLs</w:t>
      </w:r>
    </w:p>
    <w:p>
      <w:r>
        <w:t>- https://www.mca.gov.in/content/mca/global/en/mca/master-data.html</w:t>
      </w:r>
    </w:p>
    <w:p>
      <w:r>
        <w:t>- https://ecourts.example/case/2024-cs-102</w:t>
      </w:r>
    </w:p>
    <w:p>
      <w:r>
        <w:t>- https://github.com/abhilash2429/IITH_Argus</w:t>
      </w:r>
    </w:p>
    <w:p>
      <w:r>
        <w:t>Annexure C: SHAP explanation chart (placeholder)</w:t>
      </w:r>
    </w:p>
    <w:p>
      <w:r>
        <w:t>SHAP top factors: has_going_concern_doubt, has_nclt_proceedings, has_promoter_fraud_news, dscr, ebitda_margin, itr_gst_consistency_score, gstr3b_vs_2a_itc_gap, interest_coverage_ratio, gst_return_filing_consistency, average_bank_balance_to_limit_ratio</w:t>
      </w:r>
    </w:p>
    <w:p>
      <w:r>
        <w:t>Annexure D: Glossary of Indian credit terms</w:t>
      </w:r>
    </w:p>
    <w:p>
      <w:r>
        <w:t>Annexure E: Decision Traceability and Governance</w:t>
      </w:r>
    </w:p>
    <w:p>
      <w:r>
        <w:t>CAM generation date: 2026-07-14</w:t>
      </w:r>
    </w:p>
    <w:p>
      <w:r>
        <w:t>Model stack: Rules + ML calibration + explainability narrative</w:t>
      </w:r>
    </w:p>
    <w:p>
      <w:r>
        <w:t>Total web-research findings considered: 3</w:t>
      </w:r>
    </w:p>
    <w:p>
      <w:r>
        <w:t>Human-in-the-loop adjustment from due diligence: +0.0</w:t>
      </w:r>
    </w:p>
    <w:p>
      <w:r>
        <w:t>Final decision score delta from human input: +0.0 points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3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